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Lines="0" w:beforeAutospacing="0" w:after="375" w:afterLines="0" w:afterAutospacing="0" w:line="560" w:lineRule="exact"/>
        <w:ind w:firstLine="480"/>
        <w:jc w:val="center"/>
        <w:rPr>
          <w:rFonts w:hint="eastAsia" w:ascii="黑体" w:hAnsi="黑体" w:eastAsia="黑体" w:cs="方正小标宋简体"/>
          <w:kern w:val="2"/>
          <w:sz w:val="32"/>
          <w:szCs w:val="32"/>
          <w:lang w:val="en-US" w:eastAsia="zh-CN" w:bidi="ar-SA"/>
        </w:rPr>
      </w:pPr>
      <w:r>
        <w:rPr>
          <w:rFonts w:hint="eastAsia" w:ascii="黑体" w:hAnsi="黑体" w:eastAsia="黑体" w:cs="方正小标宋简体"/>
          <w:kern w:val="2"/>
          <w:sz w:val="32"/>
          <w:szCs w:val="32"/>
          <w:lang w:val="en-US" w:eastAsia="zh-CN" w:bidi="ar-SA"/>
        </w:rPr>
        <w:t>目  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墨脱县司法局概况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算单位构成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二、部门职责和机构设置</w:t>
      </w:r>
    </w:p>
    <w:p>
      <w:pPr>
        <w:spacing w:line="560" w:lineRule="exact"/>
        <w:ind w:left="669"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墨脱县司法局</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度部门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算明细表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八、政府性基金预算财政拨款收入支出决算表</w:t>
      </w:r>
    </w:p>
    <w:p>
      <w:pPr>
        <w:spacing w:line="560" w:lineRule="exact"/>
        <w:ind w:left="669" w:leftChars="3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墨脱县司法局</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度部门</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算数据分析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 名词解释</w:t>
      </w:r>
    </w:p>
    <w:p>
      <w:pPr>
        <w:spacing w:line="560" w:lineRule="exact"/>
        <w:ind w:firstLine="640" w:firstLineChars="200"/>
        <w:jc w:val="center"/>
        <w:rPr>
          <w:rFonts w:hint="eastAsia" w:ascii="黑体" w:hAnsi="黑体" w:eastAsia="黑体" w:cs="方正小标宋简体"/>
          <w:sz w:val="32"/>
          <w:szCs w:val="32"/>
        </w:rPr>
      </w:pPr>
    </w:p>
    <w:p>
      <w:pPr>
        <w:spacing w:line="560" w:lineRule="exact"/>
        <w:ind w:firstLine="640" w:firstLineChars="200"/>
        <w:jc w:val="center"/>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rPr>
          <w:rFonts w:hint="eastAsia" w:ascii="黑体" w:hAnsi="黑体" w:eastAsia="黑体" w:cs="方正小标宋简体"/>
          <w:sz w:val="32"/>
          <w:szCs w:val="32"/>
        </w:rPr>
      </w:pPr>
    </w:p>
    <w:p>
      <w:pPr>
        <w:spacing w:line="560" w:lineRule="exact"/>
        <w:ind w:firstLine="640" w:firstLineChars="200"/>
        <w:jc w:val="center"/>
        <w:rPr>
          <w:rFonts w:ascii="黑体" w:hAnsi="黑体" w:eastAsia="黑体" w:cs="方正小标宋简体"/>
          <w:sz w:val="32"/>
          <w:szCs w:val="32"/>
        </w:rPr>
      </w:pPr>
      <w:r>
        <w:rPr>
          <w:rFonts w:hint="eastAsia" w:ascii="黑体" w:hAnsi="黑体" w:eastAsia="黑体" w:cs="方正小标宋简体"/>
          <w:sz w:val="32"/>
          <w:szCs w:val="32"/>
        </w:rPr>
        <w:t>第一部分 司法局构成情况</w:t>
      </w:r>
    </w:p>
    <w:p>
      <w:pPr>
        <w:spacing w:line="560" w:lineRule="exact"/>
        <w:ind w:firstLine="640" w:firstLineChars="200"/>
        <w:jc w:val="center"/>
        <w:rPr>
          <w:rFonts w:ascii="黑体" w:hAnsi="黑体" w:eastAsia="黑体" w:cs="仿宋_GB2312"/>
          <w:sz w:val="32"/>
          <w:szCs w:val="32"/>
        </w:rPr>
      </w:pPr>
    </w:p>
    <w:p>
      <w:pPr>
        <w:spacing w:line="560" w:lineRule="exact"/>
        <w:ind w:firstLine="640" w:firstLineChars="200"/>
        <w:rPr>
          <w:rFonts w:ascii="黑体" w:hAnsi="黑体" w:eastAsia="黑体" w:cs="Times New Roman"/>
          <w:sz w:val="32"/>
          <w:szCs w:val="32"/>
        </w:rPr>
      </w:pPr>
      <w:r>
        <w:rPr>
          <w:rFonts w:hint="eastAsia" w:ascii="黑体" w:hAnsi="黑体" w:eastAsia="黑体"/>
          <w:sz w:val="32"/>
          <w:szCs w:val="32"/>
        </w:rPr>
        <w:t>一、部门预算单位构成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墨脱县司法局，正科级建制为县政府工作部门。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设立墨脱县法律援助中心，归口县司法局管理，副科级事业单位。</w:t>
      </w:r>
    </w:p>
    <w:p>
      <w:pPr>
        <w:spacing w:line="560" w:lineRule="exact"/>
        <w:ind w:firstLine="643" w:firstLineChars="200"/>
        <w:rPr>
          <w:rFonts w:ascii="黑体" w:hAnsi="黑体" w:eastAsia="黑体" w:cs="Times New Roman"/>
          <w:b/>
          <w:sz w:val="32"/>
          <w:szCs w:val="32"/>
        </w:rPr>
      </w:pPr>
      <w:r>
        <w:rPr>
          <w:rFonts w:hint="eastAsia" w:ascii="黑体" w:hAnsi="黑体" w:eastAsia="黑体"/>
          <w:b/>
          <w:sz w:val="32"/>
          <w:szCs w:val="32"/>
        </w:rPr>
        <w:t>二、部门职责和机构设置</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（一）部门职责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司法局职责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 、自治区和地区关于司法行政和法律援助工作的方针政策和法律法规；拟定本县司法行政工作的发展规划和具体措施并组织实施。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2、负责管理和指导全县的普法和法制宣传教育工作；指导各乡（镇）、各行业法制宣传教育、依法治理工作。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3、指导和监督人民调解、基层法律服务、帮教安置工作，参与仲裁工作；并抓好基层人民调解员的政治和业务培训工作。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4、指导、监督基层司法行政工作机构建设工作，参与全县的社会治安综合治理工作，开展对刑释解教人员的过度性安置帮教工作和青少年法制道德教育工作。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5、承担全县的法律援助工作责任，实施法律援助和法律咨询服务。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6、负责指导公证工作并承担相应责任。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7、承办政府交办的其他事项。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8、增加指导管理社区矫正工作职责。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9、加强监督管理法律援助工作的职责。</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法律援助中心主要职责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1、贯彻、执行国家和西藏自治区有关法律援助的法律、法规、规章和政策，依法开展法律援助工作。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2、负责受理、审查法律援助申请，并安排法律援助人员为符合条件的困难群众提供法律援助。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3、按《法律援助条例》规定，面向社会为符合条件的困难群众提供无偿法律帮助。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4、为政府行政决策提供法律意见和法律依据。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5、协助解决涉及政府行政行为的纠纷，代理政府参与行政诉讼。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6、负责法律援助队伍建设和案件卷宗及相关资料管理。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7、做好群众来信来访的接待和法律咨询、代书及法律援助案例的承办工作。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8、负责为政府行政决策提供法律意见和法律依据，协助解决涉及政府行政行为的纠纷，代理政府参与行政诉讼。承办政府交办的法律事务。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9、负责管理、协调组织实施本县的法律援助工作及法律援助及法律援助队伍建设和业务培训工作。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10、对县域弱势群体现状进行调研，提出法律援助工作方案，并根据本县经济发展水平和实际需要制定相应的工作细则，并组织实施。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11、承办政府交办的法律事务，促进政府依法行政。</w:t>
      </w:r>
    </w:p>
    <w:p>
      <w:pPr>
        <w:spacing w:line="560" w:lineRule="exact"/>
        <w:ind w:firstLine="640" w:firstLineChars="200"/>
        <w:rPr>
          <w:rFonts w:ascii="楷体" w:hAnsi="楷体" w:eastAsia="楷体" w:cs="Times New Roman"/>
          <w:sz w:val="32"/>
          <w:szCs w:val="32"/>
        </w:rPr>
      </w:pPr>
      <w:r>
        <w:rPr>
          <w:rFonts w:hint="eastAsia" w:ascii="楷体" w:hAnsi="楷体" w:eastAsia="楷体"/>
          <w:sz w:val="32"/>
          <w:szCs w:val="32"/>
        </w:rPr>
        <w:t>（二）机构设置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1、县司法局政法专项编制9名（含4名乡镇司法助理员编制），其中：科级领导职数4名。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2、县法律援助中心事业编制2名，其中：科级领导职数1名。</w:t>
      </w:r>
    </w:p>
    <w:p>
      <w:pPr>
        <w:spacing w:line="560" w:lineRule="exact"/>
        <w:ind w:firstLine="800" w:firstLineChars="250"/>
        <w:rPr>
          <w:rFonts w:hint="eastAsia" w:ascii="仿宋_GB2312" w:hAnsi="仿宋_GB2312" w:eastAsia="仿宋_GB2312" w:cs="仿宋_GB2312"/>
          <w:sz w:val="32"/>
          <w:szCs w:val="32"/>
        </w:rPr>
      </w:pPr>
    </w:p>
    <w:p>
      <w:pPr>
        <w:spacing w:line="560" w:lineRule="exact"/>
        <w:ind w:left="669" w:leftChars="304"/>
        <w:rPr>
          <w:rFonts w:hint="eastAsia" w:ascii="黑体" w:hAnsi="黑体" w:eastAsia="黑体" w:cs="仿宋_GB2312"/>
          <w:sz w:val="32"/>
          <w:szCs w:val="32"/>
        </w:rPr>
      </w:pPr>
      <w:r>
        <w:rPr>
          <w:rFonts w:hint="eastAsia" w:ascii="黑体" w:hAnsi="黑体" w:eastAsia="黑体" w:cs="仿宋_GB2312"/>
          <w:sz w:val="32"/>
          <w:szCs w:val="32"/>
        </w:rPr>
        <w:t>第二部分 墨脱县司法局</w:t>
      </w:r>
      <w:r>
        <w:rPr>
          <w:rFonts w:hint="eastAsia" w:ascii="黑体" w:hAnsi="黑体" w:eastAsia="黑体" w:cs="仿宋_GB2312"/>
          <w:sz w:val="32"/>
          <w:szCs w:val="32"/>
          <w:lang w:eastAsia="zh-CN"/>
        </w:rPr>
        <w:t>20</w:t>
      </w:r>
      <w:r>
        <w:rPr>
          <w:rFonts w:hint="eastAsia" w:ascii="黑体" w:hAnsi="黑体" w:eastAsia="黑体" w:cs="仿宋_GB2312"/>
          <w:sz w:val="32"/>
          <w:szCs w:val="32"/>
          <w:lang w:val="en-US" w:eastAsia="zh-CN"/>
        </w:rPr>
        <w:t>19</w:t>
      </w:r>
      <w:r>
        <w:rPr>
          <w:rFonts w:hint="eastAsia" w:ascii="黑体" w:hAnsi="黑体" w:eastAsia="黑体" w:cs="仿宋_GB2312"/>
          <w:sz w:val="32"/>
          <w:szCs w:val="32"/>
          <w:lang w:eastAsia="zh-CN"/>
        </w:rPr>
        <w:t>年</w:t>
      </w:r>
      <w:r>
        <w:rPr>
          <w:rFonts w:hint="eastAsia" w:ascii="黑体" w:hAnsi="黑体" w:eastAsia="黑体" w:cs="仿宋_GB2312"/>
          <w:sz w:val="32"/>
          <w:szCs w:val="32"/>
        </w:rPr>
        <w:t>度部门</w:t>
      </w:r>
      <w:r>
        <w:rPr>
          <w:rFonts w:hint="eastAsia" w:ascii="黑体" w:hAnsi="黑体" w:eastAsia="黑体" w:cs="仿宋_GB2312"/>
          <w:sz w:val="32"/>
          <w:szCs w:val="32"/>
          <w:lang w:val="en-US" w:eastAsia="zh-CN"/>
        </w:rPr>
        <w:t>决</w:t>
      </w:r>
      <w:r>
        <w:rPr>
          <w:rFonts w:hint="eastAsia" w:ascii="黑体" w:hAnsi="黑体" w:eastAsia="黑体" w:cs="仿宋_GB2312"/>
          <w:sz w:val="32"/>
          <w:szCs w:val="32"/>
        </w:rPr>
        <w:t>算明细表</w:t>
      </w:r>
    </w:p>
    <w:p>
      <w:pPr>
        <w:autoSpaceDN w:val="0"/>
        <w:spacing w:line="560" w:lineRule="exact"/>
        <w:jc w:val="center"/>
        <w:rPr>
          <w:rFonts w:hint="eastAsia" w:ascii="黑体" w:hAnsi="黑体" w:eastAsia="黑体" w:cs="仿宋_GB2312"/>
          <w:sz w:val="32"/>
          <w:szCs w:val="32"/>
        </w:rPr>
      </w:pPr>
      <w:r>
        <w:rPr>
          <w:rFonts w:hint="eastAsia" w:ascii="黑体" w:hAnsi="黑体" w:eastAsia="黑体"/>
          <w:sz w:val="32"/>
          <w:szCs w:val="28"/>
        </w:rPr>
        <w:t>（表格详见附件）</w:t>
      </w: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p>
    <w:p>
      <w:pPr>
        <w:spacing w:line="560" w:lineRule="exact"/>
        <w:jc w:val="center"/>
        <w:rPr>
          <w:rFonts w:hint="eastAsia" w:ascii="黑体" w:hAnsi="黑体" w:eastAsia="黑体"/>
          <w:sz w:val="32"/>
          <w:szCs w:val="32"/>
        </w:rPr>
      </w:pPr>
      <w:r>
        <w:rPr>
          <w:rFonts w:hint="eastAsia" w:ascii="黑体" w:hAnsi="黑体" w:eastAsia="黑体" w:cs="方正小标宋简体"/>
          <w:sz w:val="32"/>
          <w:szCs w:val="32"/>
        </w:rPr>
        <w:t>第三部分 司法局</w:t>
      </w:r>
      <w:r>
        <w:rPr>
          <w:rFonts w:hint="eastAsia" w:ascii="黑体" w:hAnsi="黑体" w:eastAsia="黑体" w:cs="方正小标宋简体"/>
          <w:sz w:val="32"/>
          <w:szCs w:val="32"/>
          <w:lang w:eastAsia="zh-CN"/>
        </w:rPr>
        <w:t>2019年</w:t>
      </w:r>
      <w:r>
        <w:rPr>
          <w:rFonts w:hint="eastAsia" w:ascii="黑体" w:hAnsi="黑体" w:eastAsia="黑体" w:cs="方正小标宋简体"/>
          <w:sz w:val="32"/>
          <w:szCs w:val="32"/>
        </w:rPr>
        <w:t>度</w:t>
      </w:r>
      <w:r>
        <w:rPr>
          <w:rFonts w:hint="eastAsia" w:ascii="黑体" w:hAnsi="黑体" w:eastAsia="黑体" w:cs="方正小标宋简体"/>
          <w:sz w:val="32"/>
          <w:szCs w:val="32"/>
          <w:lang w:eastAsia="zh-CN"/>
        </w:rPr>
        <w:t>决</w:t>
      </w:r>
      <w:r>
        <w:rPr>
          <w:rFonts w:hint="eastAsia" w:ascii="黑体" w:hAnsi="黑体" w:eastAsia="黑体" w:cs="方正小标宋简体"/>
          <w:sz w:val="32"/>
          <w:szCs w:val="32"/>
        </w:rPr>
        <w:t>算数据分析</w:t>
      </w:r>
    </w:p>
    <w:p>
      <w:pPr>
        <w:spacing w:after="0" w:line="560" w:lineRule="exact"/>
        <w:ind w:firstLine="640" w:firstLineChars="200"/>
        <w:rPr>
          <w:rFonts w:hint="eastAsia" w:ascii="黑体" w:hAnsi="黑体" w:eastAsia="黑体" w:cs="黑体"/>
          <w:sz w:val="32"/>
          <w:szCs w:val="32"/>
        </w:rPr>
      </w:pP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收入支出决算总体情况说明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2019年</w:t>
      </w:r>
      <w:r>
        <w:rPr>
          <w:rFonts w:hint="eastAsia" w:ascii="仿宋" w:hAnsi="仿宋" w:eastAsia="仿宋"/>
          <w:sz w:val="32"/>
          <w:szCs w:val="32"/>
        </w:rPr>
        <w:t>度收</w:t>
      </w:r>
      <w:r>
        <w:rPr>
          <w:rFonts w:hint="eastAsia" w:ascii="仿宋" w:hAnsi="仿宋" w:eastAsia="仿宋"/>
          <w:sz w:val="32"/>
          <w:szCs w:val="32"/>
          <w:lang w:eastAsia="zh-CN"/>
        </w:rPr>
        <w:t>入</w:t>
      </w:r>
      <w:r>
        <w:rPr>
          <w:rFonts w:hint="eastAsia" w:ascii="仿宋" w:hAnsi="仿宋" w:eastAsia="仿宋"/>
          <w:sz w:val="32"/>
          <w:szCs w:val="32"/>
          <w:lang w:val="en-US" w:eastAsia="zh-CN"/>
        </w:rPr>
        <w:t>611.15万元、支出265.29万元</w:t>
      </w:r>
      <w:r>
        <w:rPr>
          <w:rFonts w:hint="eastAsia" w:ascii="仿宋" w:hAnsi="仿宋" w:eastAsia="仿宋"/>
          <w:sz w:val="32"/>
          <w:szCs w:val="32"/>
        </w:rPr>
        <w:t>，与</w:t>
      </w:r>
      <w:r>
        <w:rPr>
          <w:rFonts w:hint="eastAsia" w:ascii="仿宋" w:hAnsi="仿宋" w:eastAsia="仿宋"/>
          <w:sz w:val="32"/>
          <w:szCs w:val="32"/>
          <w:lang w:eastAsia="zh-CN"/>
        </w:rPr>
        <w:t>2018年</w:t>
      </w:r>
      <w:r>
        <w:rPr>
          <w:rFonts w:hint="eastAsia" w:ascii="仿宋" w:hAnsi="仿宋" w:eastAsia="仿宋"/>
          <w:sz w:val="32"/>
          <w:szCs w:val="32"/>
        </w:rPr>
        <w:t>相比，收、支各</w:t>
      </w:r>
      <w:r>
        <w:rPr>
          <w:rFonts w:hint="eastAsia" w:ascii="仿宋" w:hAnsi="仿宋" w:eastAsia="仿宋"/>
          <w:sz w:val="32"/>
          <w:szCs w:val="32"/>
          <w:lang w:eastAsia="zh-CN"/>
        </w:rPr>
        <w:t>增加</w:t>
      </w:r>
      <w:r>
        <w:rPr>
          <w:rFonts w:hint="eastAsia" w:ascii="仿宋" w:hAnsi="仿宋" w:eastAsia="仿宋"/>
          <w:sz w:val="32"/>
          <w:szCs w:val="32"/>
          <w:lang w:val="en-US" w:eastAsia="zh-CN"/>
        </w:rPr>
        <w:t>377.06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31.2万元</w:t>
      </w:r>
      <w:r>
        <w:rPr>
          <w:rFonts w:hint="eastAsia" w:ascii="仿宋" w:hAnsi="仿宋" w:eastAsia="仿宋"/>
          <w:sz w:val="32"/>
          <w:szCs w:val="32"/>
        </w:rPr>
        <w:t>，</w:t>
      </w:r>
      <w:r>
        <w:rPr>
          <w:rFonts w:hint="eastAsia" w:ascii="仿宋" w:hAnsi="仿宋" w:eastAsia="仿宋"/>
          <w:sz w:val="32"/>
          <w:szCs w:val="32"/>
          <w:lang w:eastAsia="zh-CN"/>
        </w:rPr>
        <w:t>主要是</w:t>
      </w:r>
      <w:r>
        <w:rPr>
          <w:rFonts w:hint="eastAsia" w:ascii="仿宋" w:hAnsi="仿宋" w:eastAsia="仿宋"/>
          <w:sz w:val="32"/>
          <w:szCs w:val="32"/>
          <w:lang w:val="en-US" w:eastAsia="zh-CN"/>
        </w:rPr>
        <w:t>专项经费增加以及</w:t>
      </w:r>
      <w:r>
        <w:rPr>
          <w:rFonts w:hint="eastAsia" w:ascii="仿宋" w:hAnsi="仿宋" w:eastAsia="仿宋"/>
          <w:sz w:val="32"/>
          <w:szCs w:val="32"/>
          <w:lang w:eastAsia="zh-CN"/>
        </w:rPr>
        <w:t>人员正常晋职晋档，按规定发放的工资福利增加。</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收入决算情况说明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本年收入合计</w:t>
      </w:r>
      <w:r>
        <w:rPr>
          <w:rFonts w:hint="eastAsia" w:ascii="仿宋" w:hAnsi="仿宋" w:eastAsia="仿宋"/>
          <w:sz w:val="32"/>
          <w:szCs w:val="32"/>
          <w:lang w:val="en-US" w:eastAsia="zh-CN"/>
        </w:rPr>
        <w:t>611.15</w:t>
      </w:r>
      <w:r>
        <w:rPr>
          <w:rFonts w:hint="eastAsia" w:ascii="仿宋" w:hAnsi="仿宋" w:eastAsia="仿宋"/>
          <w:sz w:val="32"/>
          <w:szCs w:val="32"/>
        </w:rPr>
        <w:t>万元，全部为财政拨款收入，无其他收入。</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本年支出</w:t>
      </w:r>
      <w:r>
        <w:rPr>
          <w:rFonts w:hint="eastAsia" w:ascii="仿宋" w:hAnsi="仿宋" w:eastAsia="仿宋"/>
          <w:sz w:val="32"/>
          <w:szCs w:val="32"/>
          <w:lang w:val="en-US" w:eastAsia="zh-CN"/>
        </w:rPr>
        <w:t>265.29</w:t>
      </w:r>
      <w:r>
        <w:rPr>
          <w:rFonts w:hint="eastAsia" w:ascii="仿宋" w:hAnsi="仿宋" w:eastAsia="仿宋"/>
          <w:sz w:val="32"/>
          <w:szCs w:val="32"/>
        </w:rPr>
        <w:t>万元，基本支出</w:t>
      </w:r>
      <w:r>
        <w:rPr>
          <w:rFonts w:hint="eastAsia" w:ascii="仿宋" w:hAnsi="仿宋" w:eastAsia="仿宋"/>
          <w:sz w:val="32"/>
          <w:szCs w:val="32"/>
          <w:lang w:val="en-US" w:eastAsia="zh-CN"/>
        </w:rPr>
        <w:t>265.29</w:t>
      </w:r>
      <w:r>
        <w:rPr>
          <w:rFonts w:hint="eastAsia" w:ascii="仿宋" w:hAnsi="仿宋" w:eastAsia="仿宋"/>
          <w:sz w:val="32"/>
          <w:szCs w:val="32"/>
        </w:rPr>
        <w:t>万元，无项目支出。</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财政拨款收入支出决算总体情况说明</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2019年</w:t>
      </w:r>
      <w:r>
        <w:rPr>
          <w:rFonts w:hint="eastAsia" w:ascii="仿宋" w:hAnsi="仿宋" w:eastAsia="仿宋"/>
          <w:sz w:val="32"/>
          <w:szCs w:val="32"/>
        </w:rPr>
        <w:t>度财政拨款收</w:t>
      </w:r>
      <w:r>
        <w:rPr>
          <w:rFonts w:hint="eastAsia" w:ascii="仿宋" w:hAnsi="仿宋" w:eastAsia="仿宋"/>
          <w:sz w:val="32"/>
          <w:szCs w:val="32"/>
          <w:lang w:eastAsia="zh-CN"/>
        </w:rPr>
        <w:t>入</w:t>
      </w:r>
      <w:r>
        <w:rPr>
          <w:rFonts w:hint="eastAsia" w:ascii="仿宋" w:hAnsi="仿宋" w:eastAsia="仿宋"/>
          <w:sz w:val="32"/>
          <w:szCs w:val="32"/>
          <w:lang w:val="en-US" w:eastAsia="zh-CN"/>
        </w:rPr>
        <w:t>611.15万元、支出265.29万元</w:t>
      </w:r>
      <w:r>
        <w:rPr>
          <w:rFonts w:hint="eastAsia" w:ascii="仿宋" w:hAnsi="仿宋" w:eastAsia="仿宋"/>
          <w:sz w:val="32"/>
          <w:szCs w:val="32"/>
        </w:rPr>
        <w:t>，与</w:t>
      </w:r>
      <w:r>
        <w:rPr>
          <w:rFonts w:hint="eastAsia" w:ascii="仿宋" w:hAnsi="仿宋" w:eastAsia="仿宋"/>
          <w:sz w:val="32"/>
          <w:szCs w:val="32"/>
          <w:lang w:eastAsia="zh-CN"/>
        </w:rPr>
        <w:t>2018年</w:t>
      </w:r>
      <w:r>
        <w:rPr>
          <w:rFonts w:hint="eastAsia" w:ascii="仿宋" w:hAnsi="仿宋" w:eastAsia="仿宋"/>
          <w:sz w:val="32"/>
          <w:szCs w:val="32"/>
        </w:rPr>
        <w:t>相比，收、支各</w:t>
      </w:r>
      <w:r>
        <w:rPr>
          <w:rFonts w:hint="eastAsia" w:ascii="仿宋" w:hAnsi="仿宋" w:eastAsia="仿宋"/>
          <w:sz w:val="32"/>
          <w:szCs w:val="32"/>
          <w:lang w:eastAsia="zh-CN"/>
        </w:rPr>
        <w:t>增加</w:t>
      </w:r>
      <w:r>
        <w:rPr>
          <w:rFonts w:hint="eastAsia" w:ascii="仿宋" w:hAnsi="仿宋" w:eastAsia="仿宋"/>
          <w:sz w:val="32"/>
          <w:szCs w:val="32"/>
          <w:lang w:val="en-US" w:eastAsia="zh-CN"/>
        </w:rPr>
        <w:t>377.06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31.2万元</w:t>
      </w:r>
      <w:r>
        <w:rPr>
          <w:rFonts w:hint="eastAsia" w:ascii="仿宋" w:hAnsi="仿宋" w:eastAsia="仿宋"/>
          <w:sz w:val="32"/>
          <w:szCs w:val="32"/>
        </w:rPr>
        <w:t>，</w:t>
      </w:r>
      <w:r>
        <w:rPr>
          <w:rFonts w:hint="eastAsia" w:ascii="仿宋" w:hAnsi="仿宋" w:eastAsia="仿宋"/>
          <w:sz w:val="32"/>
          <w:szCs w:val="32"/>
          <w:lang w:eastAsia="zh-CN"/>
        </w:rPr>
        <w:t>主要是</w:t>
      </w:r>
      <w:r>
        <w:rPr>
          <w:rFonts w:hint="eastAsia" w:ascii="仿宋" w:hAnsi="仿宋" w:eastAsia="仿宋"/>
          <w:sz w:val="32"/>
          <w:szCs w:val="32"/>
          <w:lang w:val="en-US" w:eastAsia="zh-CN"/>
        </w:rPr>
        <w:t>专项经费增加以及</w:t>
      </w:r>
      <w:r>
        <w:rPr>
          <w:rFonts w:hint="eastAsia" w:ascii="仿宋" w:hAnsi="仿宋" w:eastAsia="仿宋"/>
          <w:sz w:val="32"/>
          <w:szCs w:val="32"/>
          <w:lang w:eastAsia="zh-CN"/>
        </w:rPr>
        <w:t>人员正常晋职晋档，按规定发放的工资福利增加。</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一般公共预算财政拨款支出决算情况说明</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（一）财政拨款支出决算总体情况</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2019年</w:t>
      </w:r>
      <w:r>
        <w:rPr>
          <w:rFonts w:hint="eastAsia" w:ascii="仿宋" w:hAnsi="仿宋" w:eastAsia="仿宋"/>
          <w:sz w:val="32"/>
          <w:szCs w:val="32"/>
        </w:rPr>
        <w:t>度财政拨款支出</w:t>
      </w:r>
      <w:r>
        <w:rPr>
          <w:rFonts w:hint="eastAsia" w:ascii="仿宋" w:hAnsi="仿宋" w:eastAsia="仿宋"/>
          <w:sz w:val="32"/>
          <w:szCs w:val="32"/>
          <w:lang w:val="en-US" w:eastAsia="zh-CN"/>
        </w:rPr>
        <w:t>265.29</w:t>
      </w:r>
      <w:r>
        <w:rPr>
          <w:rFonts w:hint="eastAsia" w:ascii="仿宋" w:hAnsi="仿宋" w:eastAsia="仿宋"/>
          <w:sz w:val="32"/>
          <w:szCs w:val="32"/>
        </w:rPr>
        <w:t>万元，与</w:t>
      </w:r>
      <w:r>
        <w:rPr>
          <w:rFonts w:hint="eastAsia" w:ascii="仿宋" w:hAnsi="仿宋" w:eastAsia="仿宋"/>
          <w:sz w:val="32"/>
          <w:szCs w:val="32"/>
          <w:lang w:eastAsia="zh-CN"/>
        </w:rPr>
        <w:t>2018年</w:t>
      </w:r>
      <w:r>
        <w:rPr>
          <w:rFonts w:hint="eastAsia" w:ascii="仿宋" w:hAnsi="仿宋" w:eastAsia="仿宋"/>
          <w:sz w:val="32"/>
          <w:szCs w:val="32"/>
        </w:rPr>
        <w:t>相比</w:t>
      </w:r>
      <w:r>
        <w:rPr>
          <w:rFonts w:hint="eastAsia" w:ascii="仿宋" w:hAnsi="仿宋" w:eastAsia="仿宋"/>
          <w:sz w:val="32"/>
          <w:szCs w:val="32"/>
          <w:lang w:eastAsia="zh-CN"/>
        </w:rPr>
        <w:t>增加</w:t>
      </w:r>
      <w:r>
        <w:rPr>
          <w:rFonts w:hint="eastAsia" w:ascii="仿宋" w:hAnsi="仿宋" w:eastAsia="仿宋"/>
          <w:sz w:val="32"/>
          <w:szCs w:val="32"/>
          <w:lang w:val="en-US" w:eastAsia="zh-CN"/>
        </w:rPr>
        <w:t>31.2万元</w:t>
      </w:r>
      <w:r>
        <w:rPr>
          <w:rFonts w:hint="eastAsia" w:ascii="仿宋" w:hAnsi="仿宋" w:eastAsia="仿宋"/>
          <w:sz w:val="32"/>
          <w:szCs w:val="32"/>
        </w:rPr>
        <w:t>，</w:t>
      </w:r>
      <w:r>
        <w:rPr>
          <w:rFonts w:hint="eastAsia" w:ascii="仿宋" w:hAnsi="仿宋" w:eastAsia="仿宋"/>
          <w:sz w:val="32"/>
          <w:szCs w:val="32"/>
          <w:lang w:eastAsia="zh-CN"/>
        </w:rPr>
        <w:t>主要是</w:t>
      </w:r>
      <w:r>
        <w:rPr>
          <w:rFonts w:hint="eastAsia" w:ascii="仿宋" w:hAnsi="仿宋" w:eastAsia="仿宋"/>
          <w:sz w:val="32"/>
          <w:szCs w:val="32"/>
          <w:lang w:val="en-US" w:eastAsia="zh-CN"/>
        </w:rPr>
        <w:t>专项经费增加以及</w:t>
      </w:r>
      <w:r>
        <w:rPr>
          <w:rFonts w:hint="eastAsia" w:ascii="仿宋" w:hAnsi="仿宋" w:eastAsia="仿宋"/>
          <w:sz w:val="32"/>
          <w:szCs w:val="32"/>
          <w:lang w:eastAsia="zh-CN"/>
        </w:rPr>
        <w:t>人员正常晋职晋档，按规定发放的工资福利增加。</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（二）财政拨款支出决算结构情况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2019年</w:t>
      </w:r>
      <w:r>
        <w:rPr>
          <w:rFonts w:hint="eastAsia" w:ascii="仿宋" w:hAnsi="仿宋" w:eastAsia="仿宋"/>
          <w:sz w:val="32"/>
          <w:szCs w:val="32"/>
        </w:rPr>
        <w:t>度财政拨款支出主要用于以下方面：</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15.6</w:t>
      </w:r>
      <w:r>
        <w:rPr>
          <w:rFonts w:hint="eastAsia" w:ascii="仿宋" w:hAnsi="仿宋" w:eastAsia="仿宋"/>
          <w:sz w:val="32"/>
          <w:szCs w:val="32"/>
        </w:rPr>
        <w:t>万元，占</w:t>
      </w:r>
      <w:r>
        <w:rPr>
          <w:rFonts w:hint="eastAsia" w:ascii="仿宋" w:hAnsi="仿宋" w:eastAsia="仿宋"/>
          <w:sz w:val="32"/>
          <w:szCs w:val="32"/>
          <w:lang w:val="en-US" w:eastAsia="zh-CN"/>
        </w:rPr>
        <w:t>5.88</w:t>
      </w:r>
      <w:r>
        <w:rPr>
          <w:rFonts w:hint="eastAsia" w:ascii="仿宋" w:hAnsi="仿宋" w:eastAsia="仿宋"/>
          <w:sz w:val="32"/>
          <w:szCs w:val="32"/>
        </w:rPr>
        <w:t>%；</w:t>
      </w:r>
      <w:r>
        <w:rPr>
          <w:rFonts w:hint="eastAsia" w:ascii="仿宋" w:hAnsi="仿宋" w:eastAsia="仿宋"/>
          <w:b/>
          <w:sz w:val="32"/>
          <w:szCs w:val="32"/>
          <w:lang w:val="en-US" w:eastAsia="zh-CN"/>
        </w:rPr>
        <w:t>卫生健康</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8.79</w:t>
      </w:r>
      <w:r>
        <w:rPr>
          <w:rFonts w:hint="eastAsia" w:ascii="仿宋" w:hAnsi="仿宋" w:eastAsia="仿宋"/>
          <w:sz w:val="32"/>
          <w:szCs w:val="32"/>
        </w:rPr>
        <w:t>万元，占</w:t>
      </w:r>
      <w:r>
        <w:rPr>
          <w:rFonts w:hint="eastAsia" w:ascii="仿宋" w:hAnsi="仿宋" w:eastAsia="仿宋"/>
          <w:sz w:val="32"/>
          <w:szCs w:val="32"/>
          <w:lang w:val="en-US" w:eastAsia="zh-CN"/>
        </w:rPr>
        <w:t>3.31</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w:t>
      </w:r>
      <w:r>
        <w:rPr>
          <w:rFonts w:hint="eastAsia" w:ascii="仿宋" w:hAnsi="仿宋" w:eastAsia="仿宋"/>
          <w:sz w:val="32"/>
          <w:szCs w:val="32"/>
          <w:lang w:val="en-US" w:eastAsia="zh-CN"/>
        </w:rPr>
        <w:t>21.61</w:t>
      </w:r>
      <w:r>
        <w:rPr>
          <w:rFonts w:hint="eastAsia" w:ascii="仿宋" w:hAnsi="仿宋" w:eastAsia="仿宋"/>
          <w:sz w:val="32"/>
          <w:szCs w:val="32"/>
        </w:rPr>
        <w:t>万元，占</w:t>
      </w:r>
      <w:r>
        <w:rPr>
          <w:rFonts w:hint="eastAsia" w:ascii="仿宋" w:hAnsi="仿宋" w:eastAsia="仿宋"/>
          <w:sz w:val="32"/>
          <w:szCs w:val="32"/>
          <w:lang w:val="en-US" w:eastAsia="zh-CN"/>
        </w:rPr>
        <w:t>8.15</w:t>
      </w:r>
      <w:r>
        <w:rPr>
          <w:rFonts w:hint="eastAsia" w:ascii="仿宋" w:hAnsi="仿宋" w:eastAsia="仿宋"/>
          <w:sz w:val="32"/>
          <w:szCs w:val="32"/>
        </w:rPr>
        <w:t>%；</w:t>
      </w:r>
      <w:r>
        <w:rPr>
          <w:rFonts w:hint="eastAsia" w:ascii="仿宋" w:hAnsi="仿宋" w:eastAsia="仿宋"/>
          <w:b/>
          <w:sz w:val="32"/>
          <w:szCs w:val="32"/>
          <w:lang w:eastAsia="zh-CN"/>
        </w:rPr>
        <w:t>公共安全</w:t>
      </w:r>
      <w:r>
        <w:rPr>
          <w:rFonts w:hint="eastAsia" w:ascii="仿宋" w:hAnsi="仿宋" w:eastAsia="仿宋"/>
          <w:b/>
          <w:sz w:val="32"/>
          <w:szCs w:val="32"/>
        </w:rPr>
        <w:t>（类）</w:t>
      </w:r>
      <w:r>
        <w:rPr>
          <w:rFonts w:hint="eastAsia" w:ascii="仿宋" w:hAnsi="仿宋" w:eastAsia="仿宋"/>
          <w:sz w:val="32"/>
          <w:szCs w:val="32"/>
        </w:rPr>
        <w:t>支出</w:t>
      </w:r>
      <w:r>
        <w:rPr>
          <w:rFonts w:hint="eastAsia" w:ascii="仿宋" w:hAnsi="仿宋" w:eastAsia="仿宋"/>
          <w:sz w:val="32"/>
          <w:szCs w:val="32"/>
          <w:lang w:val="en-US" w:eastAsia="zh-CN"/>
        </w:rPr>
        <w:t>219.29</w:t>
      </w:r>
      <w:r>
        <w:rPr>
          <w:rFonts w:hint="eastAsia" w:ascii="仿宋" w:hAnsi="仿宋" w:eastAsia="仿宋"/>
          <w:sz w:val="32"/>
          <w:szCs w:val="32"/>
        </w:rPr>
        <w:t>万元，占</w:t>
      </w:r>
      <w:r>
        <w:rPr>
          <w:rFonts w:hint="eastAsia" w:ascii="仿宋" w:hAnsi="仿宋" w:eastAsia="仿宋"/>
          <w:sz w:val="32"/>
          <w:szCs w:val="32"/>
          <w:lang w:val="en-US" w:eastAsia="zh-CN"/>
        </w:rPr>
        <w:t>82.66</w:t>
      </w:r>
      <w:r>
        <w:rPr>
          <w:rFonts w:hint="eastAsia" w:ascii="仿宋" w:hAnsi="仿宋" w:eastAsia="仿宋"/>
          <w:sz w:val="32"/>
          <w:szCs w:val="32"/>
        </w:rPr>
        <w:t>%。</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（三）财政拨款支出决算具体情况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2019年</w:t>
      </w:r>
      <w:r>
        <w:rPr>
          <w:rFonts w:hint="eastAsia" w:ascii="仿宋" w:hAnsi="仿宋" w:eastAsia="仿宋"/>
          <w:sz w:val="32"/>
          <w:szCs w:val="32"/>
        </w:rPr>
        <w:t>度财政拨款支出为</w:t>
      </w:r>
      <w:r>
        <w:rPr>
          <w:rFonts w:hint="eastAsia" w:ascii="仿宋" w:hAnsi="仿宋" w:eastAsia="仿宋"/>
          <w:sz w:val="32"/>
          <w:szCs w:val="32"/>
          <w:lang w:val="en-US" w:eastAsia="zh-CN"/>
        </w:rPr>
        <w:t>265.29</w:t>
      </w:r>
      <w:r>
        <w:rPr>
          <w:rFonts w:hint="eastAsia" w:ascii="仿宋" w:hAnsi="仿宋" w:eastAsia="仿宋"/>
          <w:sz w:val="32"/>
          <w:szCs w:val="32"/>
        </w:rPr>
        <w:t>万元，其中：</w:t>
      </w:r>
    </w:p>
    <w:p>
      <w:pPr>
        <w:spacing w:line="360" w:lineRule="auto"/>
        <w:ind w:firstLine="643"/>
        <w:rPr>
          <w:rFonts w:hint="eastAsia" w:ascii="仿宋" w:hAnsi="仿宋" w:eastAsia="仿宋"/>
          <w:sz w:val="32"/>
          <w:szCs w:val="32"/>
        </w:rPr>
      </w:pPr>
      <w:r>
        <w:rPr>
          <w:rFonts w:hint="eastAsia" w:ascii="仿宋" w:hAnsi="仿宋" w:eastAsia="仿宋"/>
          <w:b/>
          <w:sz w:val="32"/>
          <w:szCs w:val="32"/>
        </w:rPr>
        <w:t>1.社会保障和就业（类）财政对基本养老保险基金的补助（款）机关事业单位基本养老保险缴费（项）</w:t>
      </w:r>
      <w:r>
        <w:rPr>
          <w:rFonts w:hint="eastAsia" w:ascii="仿宋" w:hAnsi="仿宋" w:eastAsia="仿宋"/>
          <w:sz w:val="32"/>
          <w:szCs w:val="32"/>
        </w:rPr>
        <w:t>支出</w:t>
      </w:r>
      <w:r>
        <w:rPr>
          <w:rFonts w:hint="eastAsia" w:ascii="仿宋" w:hAnsi="仿宋" w:eastAsia="仿宋"/>
          <w:sz w:val="32"/>
          <w:szCs w:val="32"/>
          <w:lang w:val="en-US" w:eastAsia="zh-CN"/>
        </w:rPr>
        <w:t>14.93</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2.社会保障和就业（类）财政对其他社会保险基金的补助（款）财政对失业保险基金的补助（项）</w:t>
      </w:r>
      <w:r>
        <w:rPr>
          <w:rFonts w:hint="eastAsia" w:ascii="仿宋" w:hAnsi="仿宋" w:eastAsia="仿宋"/>
          <w:sz w:val="32"/>
          <w:szCs w:val="32"/>
        </w:rPr>
        <w:t>支出</w:t>
      </w:r>
      <w:r>
        <w:rPr>
          <w:rFonts w:hint="eastAsia" w:ascii="仿宋" w:hAnsi="仿宋" w:eastAsia="仿宋"/>
          <w:sz w:val="32"/>
          <w:szCs w:val="32"/>
          <w:lang w:val="en-US" w:eastAsia="zh-CN"/>
        </w:rPr>
        <w:t>0.02</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3.社会保障和就业（类）财政对其他社会保险基金的补助（款）财政对工伤保险基金的补助（项）</w:t>
      </w:r>
      <w:r>
        <w:rPr>
          <w:rFonts w:hint="eastAsia" w:ascii="仿宋" w:hAnsi="仿宋" w:eastAsia="仿宋"/>
          <w:sz w:val="32"/>
          <w:szCs w:val="32"/>
        </w:rPr>
        <w:t>支出</w:t>
      </w:r>
      <w:r>
        <w:rPr>
          <w:rFonts w:hint="eastAsia" w:ascii="仿宋" w:hAnsi="仿宋" w:eastAsia="仿宋"/>
          <w:sz w:val="32"/>
          <w:szCs w:val="32"/>
          <w:lang w:val="en-US" w:eastAsia="zh-CN"/>
        </w:rPr>
        <w:t>0.09</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4.社会保障和就业（类）财政对其他社会保险基金的补助（款）财政对生育保险基金的补助（项）</w:t>
      </w:r>
      <w:r>
        <w:rPr>
          <w:rFonts w:hint="eastAsia" w:ascii="仿宋" w:hAnsi="仿宋" w:eastAsia="仿宋"/>
          <w:sz w:val="32"/>
          <w:szCs w:val="32"/>
        </w:rPr>
        <w:t>支出</w:t>
      </w:r>
      <w:r>
        <w:rPr>
          <w:rFonts w:hint="eastAsia" w:ascii="仿宋" w:hAnsi="仿宋" w:eastAsia="仿宋"/>
          <w:sz w:val="32"/>
          <w:szCs w:val="32"/>
          <w:lang w:val="en-US" w:eastAsia="zh-CN"/>
        </w:rPr>
        <w:t>0.56</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5.</w:t>
      </w:r>
      <w:r>
        <w:rPr>
          <w:rFonts w:hint="eastAsia" w:ascii="仿宋" w:hAnsi="仿宋" w:eastAsia="仿宋"/>
          <w:b/>
          <w:sz w:val="32"/>
          <w:szCs w:val="32"/>
          <w:lang w:val="en-US" w:eastAsia="zh-CN"/>
        </w:rPr>
        <w:t>卫生健康</w:t>
      </w:r>
      <w:r>
        <w:rPr>
          <w:rFonts w:hint="eastAsia" w:ascii="仿宋" w:hAnsi="仿宋" w:eastAsia="仿宋"/>
          <w:b/>
          <w:sz w:val="32"/>
          <w:szCs w:val="32"/>
        </w:rPr>
        <w:t>（类）财政对基本医疗保险基金的补助（款）财政对职工基本医疗保险基金的补助（项）</w:t>
      </w:r>
      <w:r>
        <w:rPr>
          <w:rFonts w:hint="eastAsia" w:ascii="仿宋" w:hAnsi="仿宋" w:eastAsia="仿宋"/>
          <w:sz w:val="32"/>
          <w:szCs w:val="32"/>
        </w:rPr>
        <w:t>支出</w:t>
      </w:r>
      <w:r>
        <w:rPr>
          <w:rFonts w:hint="eastAsia" w:ascii="仿宋" w:hAnsi="仿宋" w:eastAsia="仿宋"/>
          <w:sz w:val="32"/>
          <w:szCs w:val="32"/>
          <w:lang w:val="en-US" w:eastAsia="zh-CN"/>
        </w:rPr>
        <w:t>6.39</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6.</w:t>
      </w:r>
      <w:r>
        <w:rPr>
          <w:rFonts w:hint="eastAsia" w:ascii="仿宋" w:hAnsi="仿宋" w:eastAsia="仿宋"/>
          <w:b/>
          <w:sz w:val="32"/>
          <w:szCs w:val="32"/>
          <w:lang w:eastAsia="zh-CN"/>
        </w:rPr>
        <w:t>公共安全</w:t>
      </w:r>
      <w:r>
        <w:rPr>
          <w:rFonts w:hint="eastAsia" w:ascii="仿宋" w:hAnsi="仿宋" w:eastAsia="仿宋"/>
          <w:b/>
          <w:sz w:val="32"/>
          <w:szCs w:val="32"/>
        </w:rPr>
        <w:t>（类）</w:t>
      </w:r>
      <w:r>
        <w:rPr>
          <w:rFonts w:hint="eastAsia" w:ascii="仿宋" w:hAnsi="仿宋" w:eastAsia="仿宋"/>
          <w:b/>
          <w:sz w:val="32"/>
          <w:szCs w:val="32"/>
          <w:lang w:eastAsia="zh-CN"/>
        </w:rPr>
        <w:t>司法</w:t>
      </w:r>
      <w:r>
        <w:rPr>
          <w:rFonts w:hint="eastAsia" w:ascii="仿宋" w:hAnsi="仿宋" w:eastAsia="仿宋"/>
          <w:b/>
          <w:sz w:val="32"/>
          <w:szCs w:val="32"/>
        </w:rPr>
        <w:t>（款）行政运行（项）</w:t>
      </w:r>
      <w:r>
        <w:rPr>
          <w:rFonts w:hint="eastAsia" w:ascii="仿宋" w:hAnsi="仿宋" w:eastAsia="仿宋"/>
          <w:sz w:val="32"/>
          <w:szCs w:val="32"/>
        </w:rPr>
        <w:t>支出</w:t>
      </w:r>
      <w:r>
        <w:rPr>
          <w:rFonts w:hint="eastAsia" w:ascii="仿宋" w:hAnsi="仿宋" w:eastAsia="仿宋"/>
          <w:sz w:val="32"/>
          <w:szCs w:val="32"/>
          <w:lang w:val="en-US" w:eastAsia="zh-CN"/>
        </w:rPr>
        <w:t>219.29</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7.住房保障（类）住房改革（款）住房公积金（项）</w:t>
      </w:r>
      <w:r>
        <w:rPr>
          <w:rFonts w:hint="eastAsia" w:ascii="仿宋" w:hAnsi="仿宋" w:eastAsia="仿宋"/>
          <w:sz w:val="32"/>
          <w:szCs w:val="32"/>
        </w:rPr>
        <w:t>支出</w:t>
      </w:r>
      <w:r>
        <w:rPr>
          <w:rFonts w:hint="eastAsia" w:ascii="仿宋" w:hAnsi="仿宋" w:eastAsia="仿宋"/>
          <w:sz w:val="32"/>
          <w:szCs w:val="32"/>
          <w:lang w:val="en-US" w:eastAsia="zh-CN"/>
        </w:rPr>
        <w:t>15.47</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rPr>
        <w:t>8.住房保障（类）住房改革（款）购房补贴（项）</w:t>
      </w:r>
      <w:r>
        <w:rPr>
          <w:rFonts w:hint="eastAsia" w:ascii="仿宋" w:hAnsi="仿宋" w:eastAsia="仿宋"/>
          <w:sz w:val="32"/>
          <w:szCs w:val="32"/>
        </w:rPr>
        <w:t>支出</w:t>
      </w:r>
      <w:r>
        <w:rPr>
          <w:rFonts w:hint="eastAsia" w:ascii="仿宋" w:hAnsi="仿宋" w:eastAsia="仿宋"/>
          <w:sz w:val="32"/>
          <w:szCs w:val="32"/>
          <w:lang w:val="en-US" w:eastAsia="zh-CN"/>
        </w:rPr>
        <w:t>6.14</w:t>
      </w:r>
      <w:r>
        <w:rPr>
          <w:rFonts w:hint="eastAsia" w:ascii="仿宋" w:hAnsi="仿宋" w:eastAsia="仿宋"/>
          <w:sz w:val="32"/>
          <w:szCs w:val="32"/>
        </w:rPr>
        <w:t>万元。</w:t>
      </w:r>
    </w:p>
    <w:p>
      <w:pPr>
        <w:spacing w:line="360" w:lineRule="auto"/>
        <w:ind w:firstLine="643"/>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.卫生健康（类）行政事业单位医疗（款）公务员医疗补助（项）</w:t>
      </w:r>
      <w:r>
        <w:rPr>
          <w:rFonts w:hint="eastAsia" w:ascii="仿宋" w:hAnsi="仿宋" w:eastAsia="仿宋"/>
          <w:sz w:val="32"/>
          <w:szCs w:val="32"/>
        </w:rPr>
        <w:t>支出</w:t>
      </w:r>
      <w:r>
        <w:rPr>
          <w:rFonts w:hint="eastAsia" w:ascii="仿宋" w:hAnsi="仿宋" w:eastAsia="仿宋"/>
          <w:sz w:val="32"/>
          <w:szCs w:val="32"/>
          <w:lang w:val="en-US" w:eastAsia="zh-CN"/>
        </w:rPr>
        <w:t>2.4</w:t>
      </w:r>
      <w:r>
        <w:rPr>
          <w:rFonts w:hint="eastAsia" w:ascii="仿宋" w:hAnsi="仿宋" w:eastAsia="仿宋"/>
          <w:sz w:val="32"/>
          <w:szCs w:val="32"/>
        </w:rPr>
        <w:t>万元。</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一般公共预算财政拨款基本支出决算情况说明</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2019年</w:t>
      </w:r>
      <w:r>
        <w:rPr>
          <w:rFonts w:hint="eastAsia" w:ascii="仿宋" w:hAnsi="仿宋" w:eastAsia="仿宋"/>
          <w:sz w:val="32"/>
          <w:szCs w:val="32"/>
        </w:rPr>
        <w:t>度财政拨款基本支出</w:t>
      </w:r>
      <w:r>
        <w:rPr>
          <w:rFonts w:hint="eastAsia" w:ascii="仿宋" w:hAnsi="仿宋" w:eastAsia="仿宋"/>
          <w:sz w:val="32"/>
          <w:szCs w:val="32"/>
          <w:lang w:val="en-US" w:eastAsia="zh-CN"/>
        </w:rPr>
        <w:t>265.29</w:t>
      </w:r>
      <w:r>
        <w:rPr>
          <w:rFonts w:hint="eastAsia" w:ascii="仿宋" w:hAnsi="仿宋" w:eastAsia="仿宋"/>
          <w:sz w:val="32"/>
          <w:szCs w:val="32"/>
        </w:rPr>
        <w:t>万元，其中：人员经费</w:t>
      </w:r>
      <w:r>
        <w:rPr>
          <w:rFonts w:hint="eastAsia" w:ascii="仿宋" w:hAnsi="仿宋" w:eastAsia="仿宋"/>
          <w:sz w:val="32"/>
          <w:szCs w:val="32"/>
          <w:lang w:val="en-US" w:eastAsia="zh-CN"/>
        </w:rPr>
        <w:t>202.86</w:t>
      </w:r>
      <w:r>
        <w:rPr>
          <w:rFonts w:hint="eastAsia" w:ascii="仿宋" w:hAnsi="仿宋" w:eastAsia="仿宋"/>
          <w:sz w:val="32"/>
          <w:szCs w:val="32"/>
        </w:rPr>
        <w:t>万元，主要包括基本工资、津贴补贴、奖金、机关事业单位基本养老保险缴费、职工基本医疗保险缴费、公务员医疗补助缴费、其他社会保障缴费、住房公积金、其他工资福利支出、生活补助、其他对个人和家庭的补助等；公用经费支出</w:t>
      </w:r>
      <w:r>
        <w:rPr>
          <w:rFonts w:hint="eastAsia" w:ascii="仿宋" w:hAnsi="仿宋" w:eastAsia="仿宋"/>
          <w:sz w:val="32"/>
          <w:szCs w:val="32"/>
          <w:lang w:val="en-US" w:eastAsia="zh-CN"/>
        </w:rPr>
        <w:t>62.43</w:t>
      </w:r>
      <w:r>
        <w:rPr>
          <w:rFonts w:hint="eastAsia" w:ascii="仿宋" w:hAnsi="仿宋" w:eastAsia="仿宋"/>
          <w:sz w:val="32"/>
          <w:szCs w:val="32"/>
        </w:rPr>
        <w:t>万元，主要包括办公费、电费、邮电费、差旅费、培训费、工会经费、公务用车运行维护费</w:t>
      </w:r>
      <w:r>
        <w:rPr>
          <w:rFonts w:hint="eastAsia" w:ascii="仿宋" w:hAnsi="仿宋" w:eastAsia="仿宋"/>
          <w:sz w:val="32"/>
          <w:szCs w:val="32"/>
          <w:lang w:eastAsia="zh-CN"/>
        </w:rPr>
        <w:t>、</w:t>
      </w:r>
      <w:r>
        <w:rPr>
          <w:rFonts w:hint="eastAsia" w:ascii="仿宋" w:hAnsi="仿宋" w:eastAsia="仿宋"/>
          <w:sz w:val="32"/>
          <w:szCs w:val="32"/>
        </w:rPr>
        <w:t>其他商品和服务支出等。</w:t>
      </w:r>
    </w:p>
    <w:p>
      <w:pPr>
        <w:numPr>
          <w:ilvl w:val="0"/>
          <w:numId w:val="1"/>
        </w:num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2019年</w:t>
      </w:r>
      <w:r>
        <w:rPr>
          <w:rFonts w:hint="eastAsia" w:ascii="仿宋_GB2312" w:hAnsi="仿宋_GB2312" w:eastAsia="仿宋_GB2312" w:cs="仿宋_GB2312"/>
          <w:b/>
          <w:sz w:val="32"/>
          <w:szCs w:val="32"/>
        </w:rPr>
        <w:t>度一般公共预算财政拨款“三公”经费支出决算情况说明</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2019年“三公”经费支出16.52万元，主要为公务用车运行维护费，与2018年相比减少1.74万元，主要是贯彻落实中央八项规定精神，厉行节约。2019年无公务用车购置费用以及公务接待费用的发生。</w:t>
      </w:r>
    </w:p>
    <w:p>
      <w:pPr>
        <w:numPr>
          <w:ilvl w:val="0"/>
          <w:numId w:val="1"/>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关于</w:t>
      </w:r>
      <w:r>
        <w:rPr>
          <w:rFonts w:hint="eastAsia" w:ascii="仿宋_GB2312" w:hAnsi="仿宋_GB2312" w:eastAsia="仿宋_GB2312" w:cs="仿宋_GB2312"/>
          <w:b/>
          <w:sz w:val="32"/>
          <w:szCs w:val="32"/>
          <w:lang w:eastAsia="zh-CN"/>
        </w:rPr>
        <w:t>2019年</w:t>
      </w:r>
      <w:r>
        <w:rPr>
          <w:rFonts w:hint="eastAsia" w:ascii="仿宋_GB2312" w:hAnsi="仿宋_GB2312" w:eastAsia="仿宋_GB2312" w:cs="仿宋_GB2312"/>
          <w:b/>
          <w:sz w:val="32"/>
          <w:szCs w:val="32"/>
        </w:rPr>
        <w:t>度预算绩效情况说明</w:t>
      </w:r>
    </w:p>
    <w:p>
      <w:pPr>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预算编制。按照财政厅</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部门预算编制要求，按时完成部门年初预算编制工作、编制过程中、认真核实单位实际财政供养人数和单位实有编制情况，准确编制人员经费和公用经费，做到精细化项目资金预算范围和科目、及时上报财政。</w:t>
      </w:r>
    </w:p>
    <w:p>
      <w:pPr>
        <w:numPr>
          <w:ilvl w:val="0"/>
          <w:numId w:val="1"/>
        </w:num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其他重要事项的情况说明</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机关运行经费支出情况</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2019年</w:t>
      </w:r>
      <w:r>
        <w:rPr>
          <w:rFonts w:hint="eastAsia" w:ascii="仿宋" w:hAnsi="仿宋" w:eastAsia="仿宋"/>
          <w:sz w:val="32"/>
          <w:szCs w:val="32"/>
        </w:rPr>
        <w:t>，机关运行经费支出</w:t>
      </w:r>
      <w:r>
        <w:rPr>
          <w:rFonts w:hint="eastAsia" w:ascii="仿宋" w:hAnsi="仿宋" w:eastAsia="仿宋"/>
          <w:sz w:val="32"/>
          <w:szCs w:val="32"/>
          <w:lang w:val="en-US" w:eastAsia="zh-CN"/>
        </w:rPr>
        <w:t>622.42</w:t>
      </w:r>
      <w:r>
        <w:rPr>
          <w:rFonts w:hint="eastAsia" w:ascii="仿宋" w:hAnsi="仿宋" w:eastAsia="仿宋"/>
          <w:sz w:val="32"/>
          <w:szCs w:val="32"/>
        </w:rPr>
        <w:t>万元，比</w:t>
      </w:r>
      <w:r>
        <w:rPr>
          <w:rFonts w:hint="eastAsia" w:ascii="仿宋" w:hAnsi="仿宋" w:eastAsia="仿宋"/>
          <w:sz w:val="32"/>
          <w:szCs w:val="32"/>
          <w:lang w:eastAsia="zh-CN"/>
        </w:rPr>
        <w:t>2018年增加</w:t>
      </w:r>
      <w:r>
        <w:rPr>
          <w:rFonts w:hint="eastAsia" w:ascii="仿宋" w:hAnsi="仿宋" w:eastAsia="仿宋"/>
          <w:sz w:val="32"/>
          <w:szCs w:val="32"/>
          <w:lang w:val="en-US" w:eastAsia="zh-CN"/>
        </w:rPr>
        <w:t>2.43</w:t>
      </w:r>
      <w:r>
        <w:rPr>
          <w:rFonts w:hint="eastAsia" w:ascii="仿宋" w:hAnsi="仿宋" w:eastAsia="仿宋"/>
          <w:sz w:val="32"/>
          <w:szCs w:val="32"/>
        </w:rPr>
        <w:t>万元，主要是</w:t>
      </w:r>
      <w:r>
        <w:rPr>
          <w:rFonts w:hint="eastAsia" w:ascii="仿宋" w:hAnsi="仿宋" w:eastAsia="仿宋"/>
          <w:sz w:val="32"/>
          <w:szCs w:val="32"/>
          <w:lang w:eastAsia="zh-CN"/>
        </w:rPr>
        <w:t>物价上涨，办公费用增加。</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政府采购支出情况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未单独安排政府采购经费，也未发生政府采购行为。</w:t>
      </w:r>
    </w:p>
    <w:p>
      <w:pPr>
        <w:numPr>
          <w:ilvl w:val="0"/>
          <w:numId w:val="2"/>
        </w:num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国有资产占用情况</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2019年</w:t>
      </w:r>
      <w:r>
        <w:rPr>
          <w:rFonts w:hint="eastAsia" w:ascii="仿宋_GB2312" w:hAnsi="仿宋_GB2312" w:eastAsia="仿宋_GB2312" w:cs="仿宋_GB2312"/>
          <w:sz w:val="32"/>
          <w:szCs w:val="32"/>
        </w:rPr>
        <w:t>12月31日，本单位</w:t>
      </w:r>
      <w:r>
        <w:rPr>
          <w:rFonts w:hint="eastAsia" w:ascii="仿宋_GB2312" w:hAnsi="仿宋_GB2312" w:eastAsia="仿宋_GB2312" w:cs="仿宋_GB2312"/>
          <w:sz w:val="32"/>
          <w:szCs w:val="32"/>
          <w:lang w:eastAsia="zh-CN"/>
        </w:rPr>
        <w:t>共有</w:t>
      </w:r>
      <w:r>
        <w:rPr>
          <w:rFonts w:hint="eastAsia" w:ascii="仿宋_GB2312" w:hAnsi="仿宋_GB2312" w:eastAsia="仿宋_GB2312" w:cs="仿宋_GB2312"/>
          <w:sz w:val="32"/>
          <w:szCs w:val="32"/>
          <w:lang w:val="en-US" w:eastAsia="zh-CN"/>
        </w:rPr>
        <w:t>2辆</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执法执勤</w:t>
      </w:r>
      <w:bookmarkStart w:id="0" w:name="_GoBack"/>
      <w:bookmarkEnd w:id="0"/>
      <w:r>
        <w:rPr>
          <w:rFonts w:hint="eastAsia" w:ascii="仿宋_GB2312" w:hAnsi="仿宋_GB2312" w:eastAsia="仿宋_GB2312" w:cs="仿宋_GB2312"/>
          <w:sz w:val="32"/>
          <w:szCs w:val="32"/>
          <w:lang w:val="en-US" w:eastAsia="zh-CN"/>
        </w:rPr>
        <w:t>用车</w:t>
      </w:r>
      <w:r>
        <w:rPr>
          <w:rFonts w:hint="eastAsia" w:ascii="仿宋_GB2312" w:hAnsi="仿宋_GB2312" w:eastAsia="仿宋_GB2312" w:cs="仿宋_GB2312"/>
          <w:sz w:val="32"/>
          <w:szCs w:val="32"/>
        </w:rPr>
        <w:t>。</w:t>
      </w: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p>
    <w:p>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第四部分 名词解释</w:t>
      </w:r>
    </w:p>
    <w:p>
      <w:pPr>
        <w:spacing w:line="560" w:lineRule="exact"/>
        <w:jc w:val="center"/>
        <w:rPr>
          <w:rFonts w:hint="eastAsia" w:ascii="方正小标宋简体" w:hAnsi="方正小标宋简体" w:eastAsia="方正小标宋简体" w:cs="方正小标宋简体"/>
          <w:sz w:val="44"/>
          <w:szCs w:val="44"/>
        </w:rPr>
      </w:pP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一、财政拨款，是指县级财政当年拨付的资金。</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二、事业收入，是指事业单位开展业务活动取得的收入。</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三、上级补助收入，指事业单位收到上级单位拨入的非财政补助资金。</w:t>
      </w:r>
    </w:p>
    <w:p>
      <w:pPr>
        <w:autoSpaceDE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rPr>
        <w:t>四、</w:t>
      </w:r>
      <w:r>
        <w:rPr>
          <w:rFonts w:hint="eastAsia" w:ascii="仿宋_GB2312" w:hAnsi="仿宋_GB2312" w:eastAsia="仿宋_GB2312" w:cs="仿宋_GB2312"/>
          <w:b w:val="0"/>
          <w:bCs w:val="0"/>
          <w:sz w:val="32"/>
          <w:szCs w:val="32"/>
          <w:lang w:val="en-US" w:eastAsia="zh-CN"/>
        </w:rPr>
        <w:t>公共安全支出（类）司法（款）行政运行（项）是指司法部门开展日常业务方面的支出；公共安全支出（类）司法（款）普法宣传（项）用于宣传资料、法制作品的审核等方面的支出；公共安全支出（类）司法（款）法律援助（项）是指用于法律援助工作方面的支出；公共安全支出（类）司法（款）仲裁（项）是指用于各项仲裁事务的支出；公共安全支出（类）司法（款）其他司法支出（项）是指归属于司法部门的其他支出。</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五、政府性基金收入，县本级基金收入主要项目包括国有土地使用权出让收入、政府住房基金收入和其他基金收入。  </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六、基本支出，指部门为保障其机构正常运转、完成日常工作任务而编制的年度基本支出计划，包括人员经费和公用经费两部分。</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七、项目支出，指部门为完成其特定的行政工作任务或事业发展目标，在基本支出预算之外编制的年度项目支出计划。</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三公”经费，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pPr>
        <w:spacing w:line="560" w:lineRule="exact"/>
        <w:ind w:firstLine="640" w:firstLineChars="200"/>
        <w:rPr>
          <w:rFonts w:ascii="仿宋_GB2312" w:hAnsi="仿宋_GB2312" w:eastAsia="仿宋_GB2312" w:cs="仿宋_GB2312"/>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29C8"/>
    <w:multiLevelType w:val="multilevel"/>
    <w:tmpl w:val="350829C8"/>
    <w:lvl w:ilvl="0" w:tentative="0">
      <w:start w:val="1"/>
      <w:numFmt w:val="chineseCountingThousand"/>
      <w:lvlText w:val="%1、"/>
      <w:lvlJc w:val="left"/>
      <w:pPr>
        <w:ind w:left="0" w:firstLine="63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498D6CBA"/>
    <w:multiLevelType w:val="multilevel"/>
    <w:tmpl w:val="498D6CBA"/>
    <w:lvl w:ilvl="0" w:tentative="0">
      <w:start w:val="1"/>
      <w:numFmt w:val="japaneseCounting"/>
      <w:lvlText w:val="（%1）"/>
      <w:lvlJc w:val="left"/>
      <w:pPr>
        <w:ind w:left="1710" w:hanging="10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34632"/>
    <w:rsid w:val="00172926"/>
    <w:rsid w:val="00241519"/>
    <w:rsid w:val="00323B43"/>
    <w:rsid w:val="003B4967"/>
    <w:rsid w:val="003D37D8"/>
    <w:rsid w:val="00426133"/>
    <w:rsid w:val="004358AB"/>
    <w:rsid w:val="008B7726"/>
    <w:rsid w:val="00A50BB8"/>
    <w:rsid w:val="00AA1132"/>
    <w:rsid w:val="00AF3E15"/>
    <w:rsid w:val="00BA131C"/>
    <w:rsid w:val="00C431FD"/>
    <w:rsid w:val="00CE0391"/>
    <w:rsid w:val="00D31D50"/>
    <w:rsid w:val="00E170B3"/>
    <w:rsid w:val="065C2D6C"/>
    <w:rsid w:val="0EC22BBA"/>
    <w:rsid w:val="2C893ED4"/>
    <w:rsid w:val="43C744FB"/>
    <w:rsid w:val="4EE557CA"/>
    <w:rsid w:val="53236D99"/>
    <w:rsid w:val="75774339"/>
    <w:rsid w:val="7AA0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iPriority w:val="0"/>
    <w:pPr>
      <w:adjustRightInd/>
      <w:snapToGrid/>
      <w:spacing w:before="100" w:beforeAutospacing="1" w:after="100" w:afterAutospacing="1"/>
      <w:jc w:val="both"/>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Words>
  <Characters>897</Characters>
  <Lines>7</Lines>
  <Paragraphs>2</Paragraphs>
  <TotalTime>3</TotalTime>
  <ScaleCrop>false</ScaleCrop>
  <LinksUpToDate>false</LinksUpToDate>
  <CharactersWithSpaces>1052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Phantom~Pamper</cp:lastModifiedBy>
  <cp:lastPrinted>2020-04-17T03:43:00Z</cp:lastPrinted>
  <dcterms:modified xsi:type="dcterms:W3CDTF">2020-08-02T11:43:19Z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