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Theme="majorEastAsia" w:hAnsiTheme="majorEastAsia" w:eastAsiaTheme="majorEastAsia" w:cstheme="majorEastAsia"/>
          <w:b/>
          <w:bCs/>
          <w:color w:val="auto"/>
          <w:sz w:val="44"/>
          <w:szCs w:val="44"/>
          <w:highlight w:val="none"/>
        </w:rPr>
      </w:pPr>
      <w:bookmarkStart w:id="119" w:name="_GoBack"/>
      <w:r>
        <w:rPr>
          <w:rFonts w:hint="eastAsia" w:ascii="方正小标宋简体" w:hAnsi="方正小标宋简体" w:eastAsia="方正小标宋简体" w:cs="方正小标宋简体"/>
          <w:b w:val="0"/>
          <w:bCs w:val="0"/>
          <w:color w:val="auto"/>
          <w:sz w:val="44"/>
          <w:szCs w:val="44"/>
          <w:highlight w:val="none"/>
        </w:rPr>
        <w:t>墨脱县人大机关2024年度部门决算公开报告</w:t>
      </w:r>
    </w:p>
    <w:bookmarkEnd w:id="119"/>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黑体" w:hAnsi="ˎ̥" w:eastAsia="黑体"/>
          <w:b/>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黑体" w:hAnsi="黑体" w:eastAsia="黑体" w:cs="黑体"/>
          <w:color w:val="auto"/>
          <w:sz w:val="44"/>
          <w:szCs w:val="44"/>
          <w:highlight w:val="none"/>
        </w:rPr>
      </w:pPr>
      <w:bookmarkStart w:id="0" w:name="_Toc11440_WPSOffice_Type2"/>
      <w:r>
        <w:rPr>
          <w:rFonts w:hint="eastAsia" w:ascii="黑体" w:hAnsi="黑体" w:eastAsia="黑体" w:cs="黑体"/>
          <w:color w:val="auto"/>
          <w:sz w:val="44"/>
          <w:szCs w:val="44"/>
          <w:highlight w:val="none"/>
        </w:rPr>
        <w:t>目  录</w:t>
      </w:r>
    </w:p>
    <w:p>
      <w:pPr>
        <w:pStyle w:val="18"/>
        <w:keepNext w:val="0"/>
        <w:keepLines w:val="0"/>
        <w:pageBreakBefore w:val="0"/>
        <w:tabs>
          <w:tab w:val="right" w:leader="dot" w:pos="8306"/>
        </w:tabs>
        <w:kinsoku/>
        <w:wordWrap/>
        <w:overflowPunct/>
        <w:topLinePunct w:val="0"/>
        <w:autoSpaceDE/>
        <w:autoSpaceDN/>
        <w:bidi w:val="0"/>
        <w:adjustRightInd w:val="0"/>
        <w:snapToGrid w:val="0"/>
        <w:spacing w:line="576" w:lineRule="exact"/>
        <w:textAlignment w:val="auto"/>
        <w:rPr>
          <w:rFonts w:hint="eastAsia"/>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_Toc1704_WPSOffice_Level1 </w:instrText>
      </w:r>
      <w:r>
        <w:rPr>
          <w:color w:val="auto"/>
          <w:sz w:val="32"/>
          <w:szCs w:val="32"/>
          <w:highlight w:val="none"/>
        </w:rPr>
        <w:fldChar w:fldCharType="separate"/>
      </w:r>
      <w:r>
        <w:rPr>
          <w:rFonts w:hint="eastAsia" w:ascii="黑体" w:hAnsi="ˎ̥" w:eastAsia="黑体"/>
          <w:color w:val="auto"/>
          <w:sz w:val="32"/>
          <w:szCs w:val="32"/>
          <w:highlight w:val="none"/>
        </w:rPr>
        <w:t>第一部分 基本情况</w:t>
      </w:r>
      <w:r>
        <w:rPr>
          <w:color w:val="auto"/>
          <w:sz w:val="32"/>
          <w:szCs w:val="32"/>
          <w:highlight w:val="none"/>
        </w:rPr>
        <w:tab/>
      </w:r>
      <w:r>
        <w:rPr>
          <w:color w:val="auto"/>
          <w:sz w:val="32"/>
          <w:szCs w:val="32"/>
          <w:highlight w:val="none"/>
        </w:rPr>
        <w:fldChar w:fldCharType="end"/>
      </w:r>
      <w:r>
        <w:rPr>
          <w:rFonts w:hint="eastAsia"/>
          <w:color w:val="auto"/>
          <w:sz w:val="32"/>
          <w:szCs w:val="32"/>
          <w:highlight w:val="none"/>
        </w:rPr>
        <w:t>2</w:t>
      </w:r>
    </w:p>
    <w:p>
      <w:pPr>
        <w:pStyle w:val="19"/>
        <w:keepNext w:val="0"/>
        <w:keepLines w:val="0"/>
        <w:pageBreakBefore w:val="0"/>
        <w:tabs>
          <w:tab w:val="right" w:leader="dot" w:pos="8306"/>
        </w:tabs>
        <w:kinsoku/>
        <w:wordWrap/>
        <w:overflowPunct/>
        <w:topLinePunct w:val="0"/>
        <w:autoSpaceDE/>
        <w:autoSpaceDN/>
        <w:bidi w:val="0"/>
        <w:adjustRightInd w:val="0"/>
        <w:snapToGrid w:val="0"/>
        <w:spacing w:line="576" w:lineRule="exact"/>
        <w:ind w:left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_Toc20274_WPSOffice_Level2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一、部门（单位）职责</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2</w:t>
      </w:r>
    </w:p>
    <w:p>
      <w:pPr>
        <w:pStyle w:val="19"/>
        <w:keepNext w:val="0"/>
        <w:keepLines w:val="0"/>
        <w:pageBreakBefore w:val="0"/>
        <w:tabs>
          <w:tab w:val="right" w:leader="dot" w:pos="8306"/>
        </w:tabs>
        <w:kinsoku/>
        <w:wordWrap/>
        <w:overflowPunct/>
        <w:topLinePunct w:val="0"/>
        <w:autoSpaceDE/>
        <w:autoSpaceDN/>
        <w:bidi w:val="0"/>
        <w:adjustRightInd w:val="0"/>
        <w:snapToGrid w:val="0"/>
        <w:spacing w:line="576" w:lineRule="exact"/>
        <w:ind w:left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_Toc4833_WPSOffice_Level2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二、机构设置</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2</w:t>
      </w:r>
    </w:p>
    <w:p>
      <w:pPr>
        <w:pStyle w:val="18"/>
        <w:keepNext w:val="0"/>
        <w:keepLines w:val="0"/>
        <w:pageBreakBefore w:val="0"/>
        <w:tabs>
          <w:tab w:val="right" w:leader="dot" w:pos="8306"/>
        </w:tabs>
        <w:kinsoku/>
        <w:wordWrap/>
        <w:overflowPunct/>
        <w:topLinePunct w:val="0"/>
        <w:autoSpaceDE/>
        <w:autoSpaceDN/>
        <w:bidi w:val="0"/>
        <w:adjustRightInd w:val="0"/>
        <w:snapToGrid w:val="0"/>
        <w:spacing w:line="576" w:lineRule="exact"/>
        <w:textAlignment w:val="auto"/>
        <w:rPr>
          <w:rFonts w:hint="eastAsia"/>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_Toc28253_WPSOffice_Level1 </w:instrText>
      </w:r>
      <w:r>
        <w:rPr>
          <w:color w:val="auto"/>
          <w:sz w:val="32"/>
          <w:szCs w:val="32"/>
          <w:highlight w:val="none"/>
        </w:rPr>
        <w:fldChar w:fldCharType="separate"/>
      </w:r>
      <w:r>
        <w:rPr>
          <w:rFonts w:hint="eastAsia" w:ascii="黑体" w:hAnsi="ˎ̥" w:eastAsia="黑体"/>
          <w:color w:val="auto"/>
          <w:sz w:val="32"/>
          <w:szCs w:val="32"/>
          <w:highlight w:val="none"/>
        </w:rPr>
        <w:t xml:space="preserve">第二部分  </w:t>
      </w:r>
      <w:r>
        <w:rPr>
          <w:rFonts w:hint="default" w:ascii="黑体" w:hAnsi="ˎ̥" w:eastAsia="黑体"/>
          <w:color w:val="auto"/>
          <w:sz w:val="32"/>
          <w:szCs w:val="32"/>
          <w:highlight w:val="none"/>
          <w:lang w:val="en-US"/>
        </w:rPr>
        <w:t>2024</w:t>
      </w:r>
      <w:r>
        <w:rPr>
          <w:rFonts w:hint="eastAsia" w:ascii="黑体" w:hAnsi="ˎ̥" w:eastAsia="黑体"/>
          <w:color w:val="auto"/>
          <w:sz w:val="32"/>
          <w:szCs w:val="32"/>
          <w:highlight w:val="none"/>
        </w:rPr>
        <w:t>年度部门决算公开表</w:t>
      </w:r>
      <w:r>
        <w:rPr>
          <w:color w:val="auto"/>
          <w:sz w:val="32"/>
          <w:szCs w:val="32"/>
          <w:highlight w:val="none"/>
        </w:rPr>
        <w:tab/>
      </w:r>
      <w:r>
        <w:rPr>
          <w:color w:val="auto"/>
          <w:sz w:val="32"/>
          <w:szCs w:val="32"/>
          <w:highlight w:val="none"/>
        </w:rPr>
        <w:fldChar w:fldCharType="end"/>
      </w:r>
      <w:r>
        <w:rPr>
          <w:rFonts w:hint="eastAsia"/>
          <w:color w:val="auto"/>
          <w:sz w:val="32"/>
          <w:szCs w:val="32"/>
          <w:highlight w:val="none"/>
        </w:rPr>
        <w:t>2</w:t>
      </w:r>
    </w:p>
    <w:p>
      <w:pPr>
        <w:pStyle w:val="18"/>
        <w:keepNext w:val="0"/>
        <w:keepLines w:val="0"/>
        <w:pageBreakBefore w:val="0"/>
        <w:tabs>
          <w:tab w:val="right" w:leader="dot" w:pos="8306"/>
        </w:tabs>
        <w:kinsoku/>
        <w:wordWrap/>
        <w:overflowPunct/>
        <w:topLinePunct w:val="0"/>
        <w:autoSpaceDE/>
        <w:autoSpaceDN/>
        <w:bidi w:val="0"/>
        <w:adjustRightInd w:val="0"/>
        <w:snapToGrid w:val="0"/>
        <w:spacing w:line="576" w:lineRule="exact"/>
        <w:textAlignment w:val="auto"/>
        <w:rPr>
          <w:rFonts w:hint="eastAsia"/>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_Toc27590_WPSOffice_Level1 </w:instrText>
      </w:r>
      <w:r>
        <w:rPr>
          <w:color w:val="auto"/>
          <w:sz w:val="32"/>
          <w:szCs w:val="32"/>
          <w:highlight w:val="none"/>
        </w:rPr>
        <w:fldChar w:fldCharType="separate"/>
      </w:r>
      <w:r>
        <w:rPr>
          <w:rFonts w:hint="eastAsia" w:ascii="黑体" w:hAnsi="黑体" w:eastAsia="黑体" w:cs="黑体"/>
          <w:color w:val="auto"/>
          <w:sz w:val="32"/>
          <w:szCs w:val="32"/>
          <w:highlight w:val="none"/>
        </w:rPr>
        <w:t>第三部分</w:t>
      </w:r>
      <w:r>
        <w:rPr>
          <w:rFonts w:hint="eastAsia"/>
          <w:color w:val="auto"/>
          <w:sz w:val="32"/>
          <w:szCs w:val="32"/>
          <w:highlight w:val="none"/>
        </w:rPr>
        <w:t xml:space="preserve">  </w:t>
      </w:r>
      <w:r>
        <w:rPr>
          <w:rFonts w:hint="default" w:ascii="黑体" w:hAnsi="ˎ̥" w:eastAsia="黑体"/>
          <w:color w:val="auto"/>
          <w:sz w:val="32"/>
          <w:szCs w:val="32"/>
          <w:highlight w:val="none"/>
          <w:lang w:val="en-US"/>
        </w:rPr>
        <w:t>2024</w:t>
      </w:r>
      <w:r>
        <w:rPr>
          <w:rFonts w:hint="eastAsia" w:ascii="黑体" w:hAnsi="ˎ̥" w:eastAsia="黑体"/>
          <w:color w:val="auto"/>
          <w:sz w:val="32"/>
          <w:szCs w:val="32"/>
          <w:highlight w:val="none"/>
        </w:rPr>
        <w:t>年度部门决算情况说明</w:t>
      </w:r>
      <w:r>
        <w:rPr>
          <w:color w:val="auto"/>
          <w:sz w:val="32"/>
          <w:szCs w:val="32"/>
          <w:highlight w:val="none"/>
        </w:rPr>
        <w:tab/>
      </w:r>
      <w:r>
        <w:rPr>
          <w:color w:val="auto"/>
          <w:sz w:val="32"/>
          <w:szCs w:val="32"/>
          <w:highlight w:val="none"/>
        </w:rPr>
        <w:fldChar w:fldCharType="end"/>
      </w:r>
      <w:r>
        <w:rPr>
          <w:rFonts w:hint="eastAsia"/>
          <w:color w:val="auto"/>
          <w:sz w:val="32"/>
          <w:szCs w:val="32"/>
          <w:highlight w:val="none"/>
        </w:rPr>
        <w:t>3</w:t>
      </w:r>
    </w:p>
    <w:p>
      <w:pPr>
        <w:pStyle w:val="19"/>
        <w:keepNext w:val="0"/>
        <w:keepLines w:val="0"/>
        <w:pageBreakBefore w:val="0"/>
        <w:tabs>
          <w:tab w:val="right" w:leader="dot" w:pos="8306"/>
        </w:tabs>
        <w:kinsoku/>
        <w:wordWrap/>
        <w:overflowPunct/>
        <w:topLinePunct w:val="0"/>
        <w:autoSpaceDE/>
        <w:autoSpaceDN/>
        <w:bidi w:val="0"/>
        <w:adjustRightInd w:val="0"/>
        <w:snapToGrid w:val="0"/>
        <w:spacing w:line="576" w:lineRule="exact"/>
        <w:ind w:left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_Toc21737_WPSOffice_Level2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一、收入支出总体情况说明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3</w:t>
      </w:r>
    </w:p>
    <w:p>
      <w:pPr>
        <w:pStyle w:val="19"/>
        <w:keepNext w:val="0"/>
        <w:keepLines w:val="0"/>
        <w:pageBreakBefore w:val="0"/>
        <w:tabs>
          <w:tab w:val="right" w:leader="dot" w:pos="8306"/>
        </w:tabs>
        <w:kinsoku/>
        <w:wordWrap/>
        <w:overflowPunct/>
        <w:topLinePunct w:val="0"/>
        <w:autoSpaceDE/>
        <w:autoSpaceDN/>
        <w:bidi w:val="0"/>
        <w:adjustRightInd w:val="0"/>
        <w:snapToGrid w:val="0"/>
        <w:spacing w:line="576" w:lineRule="exact"/>
        <w:ind w:left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_Toc19535_WPSOffice_Level2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二、收入决算情况说明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4</w:t>
      </w:r>
    </w:p>
    <w:p>
      <w:pPr>
        <w:pStyle w:val="19"/>
        <w:keepNext w:val="0"/>
        <w:keepLines w:val="0"/>
        <w:pageBreakBefore w:val="0"/>
        <w:tabs>
          <w:tab w:val="right" w:leader="dot" w:pos="8306"/>
        </w:tabs>
        <w:kinsoku/>
        <w:wordWrap/>
        <w:overflowPunct/>
        <w:topLinePunct w:val="0"/>
        <w:autoSpaceDE/>
        <w:autoSpaceDN/>
        <w:bidi w:val="0"/>
        <w:adjustRightInd w:val="0"/>
        <w:snapToGrid w:val="0"/>
        <w:spacing w:line="576" w:lineRule="exact"/>
        <w:ind w:left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_Toc19535_WPSOffice_Level2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三、支出决算情况说明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4</w:t>
      </w:r>
    </w:p>
    <w:p>
      <w:pPr>
        <w:pStyle w:val="19"/>
        <w:keepNext w:val="0"/>
        <w:keepLines w:val="0"/>
        <w:pageBreakBefore w:val="0"/>
        <w:tabs>
          <w:tab w:val="right" w:leader="dot" w:pos="8306"/>
        </w:tabs>
        <w:kinsoku/>
        <w:wordWrap/>
        <w:overflowPunct/>
        <w:topLinePunct w:val="0"/>
        <w:autoSpaceDE/>
        <w:autoSpaceDN/>
        <w:bidi w:val="0"/>
        <w:adjustRightInd w:val="0"/>
        <w:snapToGrid w:val="0"/>
        <w:spacing w:line="576" w:lineRule="exact"/>
        <w:ind w:left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_Toc19535_WPSOffice_Level2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四、财政拨款收入支出决算</w:t>
      </w:r>
      <w:r>
        <w:rPr>
          <w:rFonts w:hint="eastAsia" w:ascii="仿宋" w:hAnsi="仿宋" w:eastAsia="仿宋" w:cs="仿宋"/>
          <w:bCs/>
          <w:color w:val="auto"/>
          <w:sz w:val="32"/>
          <w:szCs w:val="32"/>
          <w:highlight w:val="none"/>
          <w:lang w:val="en-US" w:eastAsia="zh-CN"/>
        </w:rPr>
        <w:t>总体</w:t>
      </w:r>
      <w:r>
        <w:rPr>
          <w:rFonts w:hint="eastAsia" w:ascii="仿宋" w:hAnsi="仿宋" w:eastAsia="仿宋" w:cs="仿宋"/>
          <w:bCs/>
          <w:color w:val="auto"/>
          <w:sz w:val="32"/>
          <w:szCs w:val="32"/>
          <w:highlight w:val="none"/>
        </w:rPr>
        <w:t>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4</w:t>
      </w:r>
    </w:p>
    <w:p>
      <w:pPr>
        <w:pStyle w:val="19"/>
        <w:keepNext w:val="0"/>
        <w:keepLines w:val="0"/>
        <w:pageBreakBefore w:val="0"/>
        <w:tabs>
          <w:tab w:val="right" w:leader="dot" w:pos="8306"/>
        </w:tabs>
        <w:kinsoku/>
        <w:wordWrap/>
        <w:overflowPunct/>
        <w:topLinePunct w:val="0"/>
        <w:autoSpaceDE/>
        <w:autoSpaceDN/>
        <w:bidi w:val="0"/>
        <w:adjustRightInd w:val="0"/>
        <w:snapToGrid w:val="0"/>
        <w:spacing w:line="576" w:lineRule="exact"/>
        <w:ind w:left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_Toc19535_WPSOffice_Level2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五、一般公共预算财政拨款支出决算情况说明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5</w:t>
      </w:r>
    </w:p>
    <w:p>
      <w:pPr>
        <w:pStyle w:val="19"/>
        <w:keepNext w:val="0"/>
        <w:keepLines w:val="0"/>
        <w:pageBreakBefore w:val="0"/>
        <w:tabs>
          <w:tab w:val="right" w:leader="dot" w:pos="8306"/>
        </w:tabs>
        <w:kinsoku/>
        <w:wordWrap/>
        <w:overflowPunct/>
        <w:topLinePunct w:val="0"/>
        <w:autoSpaceDE/>
        <w:autoSpaceDN/>
        <w:bidi w:val="0"/>
        <w:adjustRightInd w:val="0"/>
        <w:snapToGrid w:val="0"/>
        <w:spacing w:line="576" w:lineRule="exact"/>
        <w:ind w:left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_Toc19535_WPSOffice_Level2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六、一般公共预算财政拨款基本支出决算情况说明</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6</w:t>
      </w:r>
    </w:p>
    <w:p>
      <w:pPr>
        <w:pStyle w:val="19"/>
        <w:keepNext w:val="0"/>
        <w:keepLines w:val="0"/>
        <w:pageBreakBefore w:val="0"/>
        <w:numPr>
          <w:ilvl w:val="0"/>
          <w:numId w:val="1"/>
        </w:numPr>
        <w:tabs>
          <w:tab w:val="right" w:leader="dot" w:pos="8306"/>
        </w:tabs>
        <w:kinsoku/>
        <w:wordWrap/>
        <w:overflowPunct/>
        <w:topLinePunct w:val="0"/>
        <w:autoSpaceDE/>
        <w:autoSpaceDN/>
        <w:bidi w:val="0"/>
        <w:adjustRightInd w:val="0"/>
        <w:snapToGrid w:val="0"/>
        <w:spacing w:line="576" w:lineRule="exact"/>
        <w:ind w:leftChars="0"/>
        <w:textAlignment w:val="auto"/>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政府性基金预算财政拨款支出决算情况说明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7</w:t>
      </w:r>
    </w:p>
    <w:p>
      <w:pPr>
        <w:pStyle w:val="19"/>
        <w:keepNext w:val="0"/>
        <w:keepLines w:val="0"/>
        <w:pageBreakBefore w:val="0"/>
        <w:numPr>
          <w:ilvl w:val="0"/>
          <w:numId w:val="1"/>
        </w:numPr>
        <w:tabs>
          <w:tab w:val="right" w:leader="dot" w:pos="8306"/>
        </w:tabs>
        <w:kinsoku/>
        <w:wordWrap/>
        <w:overflowPunct/>
        <w:topLinePunct w:val="0"/>
        <w:autoSpaceDE/>
        <w:autoSpaceDN/>
        <w:bidi w:val="0"/>
        <w:adjustRightInd w:val="0"/>
        <w:snapToGrid w:val="0"/>
        <w:spacing w:line="576" w:lineRule="exact"/>
        <w:ind w:leftChars="0"/>
        <w:textAlignment w:val="auto"/>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国有资本经营预算财政拨款支出决算情况说明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8</w:t>
      </w:r>
    </w:p>
    <w:p>
      <w:pPr>
        <w:pStyle w:val="19"/>
        <w:keepNext w:val="0"/>
        <w:keepLines w:val="0"/>
        <w:pageBreakBefore w:val="0"/>
        <w:tabs>
          <w:tab w:val="right" w:leader="dot" w:pos="8306"/>
        </w:tabs>
        <w:kinsoku/>
        <w:wordWrap/>
        <w:overflowPunct/>
        <w:topLinePunct w:val="0"/>
        <w:autoSpaceDE/>
        <w:autoSpaceDN/>
        <w:bidi w:val="0"/>
        <w:adjustRightInd w:val="0"/>
        <w:snapToGrid w:val="0"/>
        <w:spacing w:line="576" w:lineRule="exact"/>
        <w:ind w:left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_Toc19535_WPSOffice_Level2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九、财政拨款“三公”经费支出决算情况说明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9</w:t>
      </w:r>
    </w:p>
    <w:p>
      <w:pPr>
        <w:pStyle w:val="19"/>
        <w:keepNext w:val="0"/>
        <w:keepLines w:val="0"/>
        <w:pageBreakBefore w:val="0"/>
        <w:tabs>
          <w:tab w:val="right" w:leader="dot" w:pos="8306"/>
        </w:tabs>
        <w:kinsoku/>
        <w:wordWrap/>
        <w:overflowPunct/>
        <w:topLinePunct w:val="0"/>
        <w:autoSpaceDE/>
        <w:autoSpaceDN/>
        <w:bidi w:val="0"/>
        <w:adjustRightInd w:val="0"/>
        <w:snapToGrid w:val="0"/>
        <w:spacing w:line="576" w:lineRule="exact"/>
        <w:ind w:left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_Toc19535_WPSOffice_Level2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十、预算绩效情况说明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11</w:t>
      </w:r>
    </w:p>
    <w:p>
      <w:pPr>
        <w:pStyle w:val="19"/>
        <w:keepNext w:val="0"/>
        <w:keepLines w:val="0"/>
        <w:pageBreakBefore w:val="0"/>
        <w:tabs>
          <w:tab w:val="right" w:leader="dot" w:pos="8306"/>
        </w:tabs>
        <w:kinsoku/>
        <w:wordWrap/>
        <w:overflowPunct/>
        <w:topLinePunct w:val="0"/>
        <w:autoSpaceDE/>
        <w:autoSpaceDN/>
        <w:bidi w:val="0"/>
        <w:adjustRightInd w:val="0"/>
        <w:snapToGrid w:val="0"/>
        <w:spacing w:line="576" w:lineRule="exact"/>
        <w:ind w:leftChars="0"/>
        <w:textAlignment w:val="auto"/>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十一、其他重要事项情况说明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13</w:t>
      </w:r>
    </w:p>
    <w:p>
      <w:pPr>
        <w:pStyle w:val="18"/>
        <w:keepNext w:val="0"/>
        <w:keepLines w:val="0"/>
        <w:pageBreakBefore w:val="0"/>
        <w:tabs>
          <w:tab w:val="right" w:leader="dot" w:pos="8306"/>
        </w:tabs>
        <w:kinsoku/>
        <w:wordWrap/>
        <w:overflowPunct/>
        <w:topLinePunct w:val="0"/>
        <w:autoSpaceDE/>
        <w:autoSpaceDN/>
        <w:bidi w:val="0"/>
        <w:adjustRightInd w:val="0"/>
        <w:snapToGrid w:val="0"/>
        <w:spacing w:line="576" w:lineRule="exact"/>
        <w:textAlignment w:val="auto"/>
        <w:rPr>
          <w:rFonts w:hint="eastAsia" w:ascii="黑体" w:hAnsi="ˎ̥"/>
          <w:b/>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_Toc15425_WPSOffice_Level1 </w:instrText>
      </w:r>
      <w:r>
        <w:rPr>
          <w:color w:val="auto"/>
          <w:sz w:val="32"/>
          <w:szCs w:val="32"/>
          <w:highlight w:val="none"/>
        </w:rPr>
        <w:fldChar w:fldCharType="separate"/>
      </w:r>
      <w:r>
        <w:rPr>
          <w:rFonts w:hint="eastAsia" w:ascii="黑体" w:hAnsi="ˎ̥" w:eastAsia="黑体"/>
          <w:color w:val="auto"/>
          <w:sz w:val="32"/>
          <w:szCs w:val="32"/>
          <w:highlight w:val="none"/>
        </w:rPr>
        <w:t>第四部分  名词解释</w:t>
      </w:r>
      <w:r>
        <w:rPr>
          <w:color w:val="auto"/>
          <w:sz w:val="32"/>
          <w:szCs w:val="32"/>
          <w:highlight w:val="none"/>
        </w:rPr>
        <w:tab/>
      </w:r>
      <w:bookmarkStart w:id="1" w:name="_Toc15425_WPSOffice_Level1Page"/>
      <w:r>
        <w:rPr>
          <w:color w:val="auto"/>
          <w:sz w:val="32"/>
          <w:szCs w:val="32"/>
          <w:highlight w:val="none"/>
        </w:rPr>
        <w:t>1</w:t>
      </w:r>
      <w:bookmarkEnd w:id="1"/>
      <w:r>
        <w:rPr>
          <w:color w:val="auto"/>
          <w:sz w:val="32"/>
          <w:szCs w:val="32"/>
          <w:highlight w:val="none"/>
        </w:rPr>
        <w:fldChar w:fldCharType="end"/>
      </w:r>
      <w:bookmarkEnd w:id="0"/>
      <w:r>
        <w:rPr>
          <w:rFonts w:hint="eastAsia"/>
          <w:color w:val="auto"/>
          <w:sz w:val="32"/>
          <w:szCs w:val="32"/>
          <w:highlight w:val="none"/>
        </w:rPr>
        <w:t>5</w:t>
      </w:r>
    </w:p>
    <w:p>
      <w:pPr>
        <w:keepNext w:val="0"/>
        <w:keepLines w:val="0"/>
        <w:pageBreakBefore w:val="0"/>
        <w:kinsoku/>
        <w:wordWrap/>
        <w:overflowPunct/>
        <w:topLinePunct w:val="0"/>
        <w:autoSpaceDE/>
        <w:autoSpaceDN/>
        <w:bidi w:val="0"/>
        <w:adjustRightInd w:val="0"/>
        <w:snapToGrid w:val="0"/>
        <w:spacing w:line="576" w:lineRule="exact"/>
        <w:jc w:val="both"/>
        <w:textAlignment w:val="auto"/>
        <w:rPr>
          <w:rFonts w:hint="eastAsia" w:ascii="黑体" w:hAnsi="ˎ̥" w:eastAsia="黑体"/>
          <w:color w:val="auto"/>
          <w:sz w:val="32"/>
          <w:szCs w:val="32"/>
          <w:highlight w:val="none"/>
        </w:rPr>
      </w:pPr>
      <w:bookmarkStart w:id="2" w:name="_Toc32433_WPSOffice_Level1"/>
      <w:bookmarkStart w:id="3" w:name="_Toc10720_WPSOffice_Level1"/>
      <w:bookmarkStart w:id="4" w:name="_Toc1704_WPSOffice_Level1"/>
      <w:bookmarkStart w:id="5" w:name="_Toc22941_WPSOffice_Level1"/>
      <w:bookmarkStart w:id="6" w:name="_Toc23465_WPSOffice_Level1"/>
      <w:bookmarkStart w:id="7" w:name="_Toc10049_WPSOffice_Level1"/>
      <w:bookmarkStart w:id="8" w:name="_Toc24238_WPSOffice_Level2"/>
      <w:bookmarkStart w:id="9" w:name="_Toc32622_WPSOffice_Level2"/>
      <w:bookmarkStart w:id="10" w:name="_Toc20274_WPSOffice_Level2"/>
      <w:bookmarkStart w:id="11" w:name="_Toc14159_WPSOffice_Level2"/>
      <w:bookmarkStart w:id="12" w:name="_Toc26580_WPSOffice_Level2"/>
      <w:bookmarkStart w:id="13" w:name="_Toc20205_WPSOffice_Level2"/>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黑体" w:hAnsi="ˎ̥" w:eastAsia="黑体"/>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黑体" w:hAnsi="ˎ̥" w:eastAsia="黑体"/>
          <w:color w:val="auto"/>
          <w:sz w:val="32"/>
          <w:szCs w:val="32"/>
          <w:highlight w:val="none"/>
        </w:rPr>
      </w:pPr>
      <w:r>
        <w:rPr>
          <w:rFonts w:hint="eastAsia" w:ascii="黑体" w:hAnsi="ˎ̥" w:eastAsia="黑体"/>
          <w:color w:val="auto"/>
          <w:sz w:val="32"/>
          <w:szCs w:val="32"/>
          <w:highlight w:val="none"/>
        </w:rPr>
        <w:t xml:space="preserve">第一部分  </w:t>
      </w:r>
      <w:bookmarkEnd w:id="2"/>
      <w:bookmarkEnd w:id="3"/>
      <w:bookmarkEnd w:id="4"/>
      <w:bookmarkEnd w:id="5"/>
      <w:bookmarkEnd w:id="6"/>
      <w:bookmarkEnd w:id="7"/>
      <w:r>
        <w:rPr>
          <w:rFonts w:hint="eastAsia" w:ascii="黑体" w:hAnsi="ˎ̥" w:eastAsia="黑体"/>
          <w:color w:val="auto"/>
          <w:sz w:val="32"/>
          <w:szCs w:val="32"/>
          <w:highlight w:val="none"/>
        </w:rPr>
        <w:t>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一、部门</w:t>
      </w:r>
      <w:bookmarkEnd w:id="8"/>
      <w:r>
        <w:rPr>
          <w:rFonts w:hint="eastAsia" w:ascii="黑体" w:hAnsi="黑体" w:eastAsia="黑体" w:cs="黑体"/>
          <w:color w:val="auto"/>
          <w:sz w:val="32"/>
          <w:szCs w:val="32"/>
          <w:highlight w:val="none"/>
        </w:rPr>
        <w:t>（单位）职责</w:t>
      </w:r>
      <w:bookmarkEnd w:id="9"/>
      <w:bookmarkEnd w:id="10"/>
      <w:bookmarkEnd w:id="11"/>
      <w:bookmarkEnd w:id="12"/>
      <w:bookmarkEnd w:id="13"/>
    </w:p>
    <w:p>
      <w:pPr>
        <w:keepNext w:val="0"/>
        <w:keepLines w:val="0"/>
        <w:pageBreakBefore w:val="0"/>
        <w:widowControl/>
        <w:kinsoku/>
        <w:wordWrap/>
        <w:overflowPunct/>
        <w:topLinePunct w:val="0"/>
        <w:autoSpaceDE/>
        <w:autoSpaceDN/>
        <w:bidi w:val="0"/>
        <w:adjustRightInd w:val="0"/>
        <w:snapToGrid w:val="0"/>
        <w:spacing w:line="576" w:lineRule="exact"/>
        <w:ind w:firstLine="629" w:firstLineChars="196"/>
        <w:textAlignment w:val="auto"/>
        <w:rPr>
          <w:rFonts w:hint="eastAsia" w:ascii="楷体_GB2312" w:hAnsi="宋体" w:eastAsia="楷体_GB2312" w:cs="宋体"/>
          <w:b/>
          <w:bCs/>
          <w:color w:val="auto"/>
          <w:kern w:val="0"/>
          <w:sz w:val="32"/>
          <w:szCs w:val="24"/>
          <w:highlight w:val="none"/>
          <w:lang w:val="en"/>
        </w:rPr>
      </w:pPr>
      <w:bookmarkStart w:id="14" w:name="_Toc4833_WPSOffice_Level2"/>
      <w:bookmarkStart w:id="15" w:name="_Toc6572_WPSOffice_Level2"/>
      <w:bookmarkStart w:id="16" w:name="_Toc24474_WPSOffice_Level2"/>
      <w:bookmarkStart w:id="17" w:name="_Toc24059_WPSOffice_Level2"/>
      <w:bookmarkStart w:id="18" w:name="_Toc17796_WPSOffice_Level2"/>
      <w:r>
        <w:rPr>
          <w:rFonts w:hint="eastAsia" w:ascii="仿宋_GB2312" w:hAnsi="宋体" w:eastAsia="仿宋_GB2312" w:cs="宋体"/>
          <w:b/>
          <w:color w:val="auto"/>
          <w:kern w:val="0"/>
          <w:sz w:val="32"/>
          <w:szCs w:val="24"/>
          <w:highlight w:val="none"/>
          <w:lang w:val="en"/>
        </w:rPr>
        <w:t>（1）县人大专门委员会主要职责</w:t>
      </w:r>
    </w:p>
    <w:p>
      <w:pPr>
        <w:keepNext w:val="0"/>
        <w:keepLines w:val="0"/>
        <w:pageBreakBefore w:val="0"/>
        <w:widowControl/>
        <w:kinsoku/>
        <w:wordWrap/>
        <w:overflowPunct/>
        <w:topLinePunct w:val="0"/>
        <w:autoSpaceDE/>
        <w:autoSpaceDN/>
        <w:bidi w:val="0"/>
        <w:adjustRightInd w:val="0"/>
        <w:snapToGrid w:val="0"/>
        <w:spacing w:line="576" w:lineRule="exact"/>
        <w:ind w:firstLine="629" w:firstLineChars="196"/>
        <w:textAlignment w:val="auto"/>
        <w:rPr>
          <w:rFonts w:hint="eastAsia" w:ascii="仿宋_GB2312" w:hAnsi="宋体" w:eastAsia="仿宋_GB2312" w:cs="宋体"/>
          <w:b/>
          <w:color w:val="auto"/>
          <w:kern w:val="0"/>
          <w:sz w:val="32"/>
          <w:szCs w:val="24"/>
          <w:highlight w:val="none"/>
          <w:lang w:val="en"/>
        </w:rPr>
      </w:pPr>
      <w:r>
        <w:rPr>
          <w:rFonts w:hint="eastAsia" w:ascii="仿宋_GB2312" w:hAnsi="宋体" w:eastAsia="仿宋_GB2312" w:cs="宋体"/>
          <w:b/>
          <w:color w:val="auto"/>
          <w:kern w:val="0"/>
          <w:sz w:val="32"/>
          <w:szCs w:val="24"/>
          <w:highlight w:val="none"/>
          <w:lang w:val="en"/>
        </w:rPr>
        <w:t>财政经济委员会</w:t>
      </w:r>
      <w:r>
        <w:rPr>
          <w:rFonts w:hint="eastAsia" w:ascii="仿宋_GB2312" w:hAnsi="宋体" w:eastAsia="仿宋_GB2312" w:cs="宋体"/>
          <w:b/>
          <w:color w:val="auto"/>
          <w:kern w:val="0"/>
          <w:sz w:val="32"/>
          <w:szCs w:val="24"/>
          <w:highlight w:val="none"/>
          <w:lang w:val="en-US" w:eastAsia="zh-CN"/>
        </w:rPr>
        <w:t>:</w:t>
      </w:r>
      <w:r>
        <w:rPr>
          <w:rFonts w:hint="eastAsia" w:ascii="仿宋_GB2312" w:hAnsi="宋体" w:eastAsia="仿宋_GB2312" w:cs="宋体"/>
          <w:bCs/>
          <w:color w:val="auto"/>
          <w:kern w:val="0"/>
          <w:sz w:val="32"/>
          <w:szCs w:val="24"/>
          <w:highlight w:val="none"/>
          <w:lang w:val="en"/>
        </w:rPr>
        <w:t>负责对经济法律、法规实施情况的监督检查，提出意见和建议；负责对国民经济和社会发展计划（草案）报告、财政预决算（草案）报告以及国民经济和社会发展计划、财政</w:t>
      </w:r>
      <w:r>
        <w:rPr>
          <w:rFonts w:hint="eastAsia" w:ascii="仿宋_GB2312" w:hAnsi="宋体" w:eastAsia="仿宋_GB2312" w:cs="宋体"/>
          <w:bCs/>
          <w:color w:val="auto"/>
          <w:kern w:val="0"/>
          <w:sz w:val="32"/>
          <w:szCs w:val="24"/>
          <w:highlight w:val="none"/>
          <w:lang w:val="en" w:eastAsia="zh-CN"/>
        </w:rPr>
        <w:t>决算</w:t>
      </w:r>
      <w:r>
        <w:rPr>
          <w:rFonts w:hint="eastAsia" w:ascii="仿宋_GB2312" w:hAnsi="宋体" w:eastAsia="仿宋_GB2312" w:cs="宋体"/>
          <w:bCs/>
          <w:color w:val="auto"/>
          <w:kern w:val="0"/>
          <w:sz w:val="32"/>
          <w:szCs w:val="24"/>
          <w:highlight w:val="none"/>
          <w:lang w:val="en"/>
        </w:rPr>
        <w:t>调整方案进行初审，并监督执行情况；负责组织、督促办理同本委员会有关的议案，提出初审意见；负责承办人大代表的有关建议、批评和意见。</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宋体"/>
          <w:bCs/>
          <w:color w:val="auto"/>
          <w:kern w:val="0"/>
          <w:sz w:val="32"/>
          <w:szCs w:val="24"/>
          <w:highlight w:val="none"/>
          <w:lang w:val="en"/>
        </w:rPr>
      </w:pPr>
      <w:r>
        <w:rPr>
          <w:rFonts w:hint="eastAsia" w:ascii="仿宋_GB2312" w:hAnsi="宋体" w:eastAsia="仿宋_GB2312" w:cs="宋体"/>
          <w:b/>
          <w:color w:val="auto"/>
          <w:kern w:val="0"/>
          <w:sz w:val="32"/>
          <w:szCs w:val="24"/>
          <w:highlight w:val="none"/>
          <w:lang w:val="en"/>
        </w:rPr>
        <w:t>教育科技文化卫生委员会</w:t>
      </w:r>
      <w:r>
        <w:rPr>
          <w:rFonts w:hint="eastAsia" w:ascii="仿宋_GB2312" w:hAnsi="宋体" w:eastAsia="仿宋_GB2312" w:cs="宋体"/>
          <w:b/>
          <w:color w:val="auto"/>
          <w:kern w:val="0"/>
          <w:sz w:val="32"/>
          <w:szCs w:val="24"/>
          <w:highlight w:val="none"/>
          <w:lang w:val="en-US" w:eastAsia="zh-CN"/>
        </w:rPr>
        <w:t>:</w:t>
      </w:r>
      <w:r>
        <w:rPr>
          <w:rFonts w:hint="eastAsia" w:ascii="仿宋_GB2312" w:hAnsi="仿宋_GB2312" w:eastAsia="仿宋_GB2312" w:cs="仿宋_GB2312"/>
          <w:color w:val="auto"/>
          <w:sz w:val="32"/>
          <w:szCs w:val="32"/>
          <w:highlight w:val="none"/>
        </w:rPr>
        <w:t>负责对县人民政府、县人民法院、县人民检察院在教育、科技、文化、卫生事业以及民族、宗教、外事、侨务工作方面执行宪法、法律、法规和县人大常委会决议的情况，以及对教育、科技、文化、卫生和民族、宗教、外事、侨务工作中的重大决策和部署进行监督检查，提出报告；负责组织、督促办理同本委员会有关的议案，提出初审意见；负责承办人大代表的有关建议、批评和意见。</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宋体"/>
          <w:b/>
          <w:color w:val="auto"/>
          <w:kern w:val="0"/>
          <w:sz w:val="32"/>
          <w:szCs w:val="24"/>
          <w:highlight w:val="none"/>
          <w:lang w:val="en"/>
        </w:rPr>
      </w:pPr>
      <w:r>
        <w:rPr>
          <w:rFonts w:hint="eastAsia" w:ascii="仿宋_GB2312" w:hAnsi="宋体" w:eastAsia="仿宋_GB2312" w:cs="宋体"/>
          <w:b/>
          <w:color w:val="auto"/>
          <w:kern w:val="0"/>
          <w:sz w:val="32"/>
          <w:szCs w:val="24"/>
          <w:highlight w:val="none"/>
          <w:lang w:val="en"/>
        </w:rPr>
        <w:t>社会建设委员会</w:t>
      </w:r>
      <w:r>
        <w:rPr>
          <w:rFonts w:hint="eastAsia" w:ascii="仿宋_GB2312" w:hAnsi="宋体" w:eastAsia="仿宋_GB2312" w:cs="宋体"/>
          <w:b/>
          <w:color w:val="auto"/>
          <w:kern w:val="0"/>
          <w:sz w:val="32"/>
          <w:szCs w:val="24"/>
          <w:highlight w:val="none"/>
          <w:lang w:val="en-US" w:eastAsia="zh-CN"/>
        </w:rPr>
        <w:t>:</w:t>
      </w:r>
      <w:r>
        <w:rPr>
          <w:rFonts w:hint="eastAsia" w:ascii="仿宋_GB2312" w:hAnsi="仿宋_GB2312" w:eastAsia="仿宋_GB2312" w:cs="仿宋_GB2312"/>
          <w:color w:val="auto"/>
          <w:sz w:val="32"/>
          <w:szCs w:val="32"/>
          <w:highlight w:val="none"/>
        </w:rPr>
        <w:t>负责对县人民政府、县人民法院、县人民检察院在劳动就业、社会保障、民政事务、农业农村、生态环境、资源保护、群团组织、安全生产等方面执行宪法、法律、法规和县人大常委会决议的情况，以及对劳动就业、社会保障、民政事务、农业农村、生态环境、资源保护、群团组织、安全生产等工作中的重大决策和部署进行监督检查，提出报告；负责组织、督促办理同本委员会有关的议案，提出初审意见；负责承办人大代表的有关建议、批评和意见。</w:t>
      </w:r>
    </w:p>
    <w:p>
      <w:pPr>
        <w:keepNext w:val="0"/>
        <w:keepLines w:val="0"/>
        <w:pageBreakBefore w:val="0"/>
        <w:widowControl/>
        <w:kinsoku/>
        <w:wordWrap/>
        <w:overflowPunct/>
        <w:topLinePunct w:val="0"/>
        <w:autoSpaceDE/>
        <w:autoSpaceDN/>
        <w:bidi w:val="0"/>
        <w:adjustRightInd w:val="0"/>
        <w:snapToGrid w:val="0"/>
        <w:spacing w:line="576" w:lineRule="exact"/>
        <w:ind w:firstLine="629" w:firstLineChars="196"/>
        <w:textAlignment w:val="auto"/>
        <w:rPr>
          <w:rFonts w:hint="eastAsia" w:ascii="仿宋_GB2312" w:hAnsi="宋体" w:eastAsia="仿宋_GB2312" w:cs="宋体"/>
          <w:b/>
          <w:color w:val="auto"/>
          <w:kern w:val="0"/>
          <w:sz w:val="32"/>
          <w:szCs w:val="24"/>
          <w:highlight w:val="none"/>
          <w:lang w:val="en"/>
        </w:rPr>
      </w:pPr>
      <w:r>
        <w:rPr>
          <w:rFonts w:hint="eastAsia" w:ascii="仿宋_GB2312" w:hAnsi="宋体" w:eastAsia="仿宋_GB2312" w:cs="宋体"/>
          <w:b/>
          <w:color w:val="auto"/>
          <w:kern w:val="0"/>
          <w:sz w:val="32"/>
          <w:szCs w:val="24"/>
          <w:highlight w:val="none"/>
          <w:lang w:val="en" w:eastAsia="zh-CN"/>
        </w:rPr>
        <w:t>（</w:t>
      </w:r>
      <w:r>
        <w:rPr>
          <w:rFonts w:hint="eastAsia" w:ascii="仿宋_GB2312" w:hAnsi="宋体" w:eastAsia="仿宋_GB2312" w:cs="宋体"/>
          <w:b/>
          <w:color w:val="auto"/>
          <w:kern w:val="0"/>
          <w:sz w:val="32"/>
          <w:szCs w:val="24"/>
          <w:highlight w:val="none"/>
          <w:lang w:val="en-US" w:eastAsia="zh-CN"/>
        </w:rPr>
        <w:t>2</w:t>
      </w:r>
      <w:r>
        <w:rPr>
          <w:rFonts w:hint="eastAsia" w:ascii="仿宋_GB2312" w:hAnsi="宋体" w:eastAsia="仿宋_GB2312" w:cs="宋体"/>
          <w:b/>
          <w:color w:val="auto"/>
          <w:kern w:val="0"/>
          <w:sz w:val="32"/>
          <w:szCs w:val="24"/>
          <w:highlight w:val="none"/>
          <w:lang w:val="en" w:eastAsia="zh-CN"/>
        </w:rPr>
        <w:t>）</w:t>
      </w:r>
      <w:r>
        <w:rPr>
          <w:rFonts w:hint="eastAsia" w:ascii="仿宋_GB2312" w:hAnsi="宋体" w:eastAsia="仿宋_GB2312" w:cs="宋体"/>
          <w:b/>
          <w:color w:val="auto"/>
          <w:kern w:val="0"/>
          <w:sz w:val="32"/>
          <w:szCs w:val="24"/>
          <w:highlight w:val="none"/>
          <w:lang w:val="en"/>
        </w:rPr>
        <w:t>县人大常委会办公室</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宋体" w:eastAsia="仿宋_GB2312" w:cs="宋体"/>
          <w:color w:val="auto"/>
          <w:kern w:val="0"/>
          <w:sz w:val="32"/>
          <w:szCs w:val="24"/>
          <w:highlight w:val="none"/>
          <w:lang w:val="en"/>
        </w:rPr>
        <w:t>墨脱县人大常委会办公室是墨脱县人大常委会的正科级办事机构，设人大办公室，</w:t>
      </w:r>
      <w:r>
        <w:rPr>
          <w:rFonts w:hint="eastAsia" w:ascii="仿宋_GB2312" w:hAnsi="宋体" w:eastAsia="仿宋_GB2312" w:cs="宋体"/>
          <w:b/>
          <w:bCs/>
          <w:color w:val="auto"/>
          <w:kern w:val="0"/>
          <w:sz w:val="32"/>
          <w:szCs w:val="24"/>
          <w:highlight w:val="none"/>
          <w:lang w:val="en"/>
        </w:rPr>
        <w:t>主要职责是：</w:t>
      </w:r>
      <w:r>
        <w:rPr>
          <w:rFonts w:hint="eastAsia" w:ascii="仿宋_GB2312" w:hAnsi="仿宋_GB2312" w:eastAsia="仿宋_GB2312" w:cs="仿宋_GB2312"/>
          <w:color w:val="auto"/>
          <w:sz w:val="32"/>
          <w:szCs w:val="32"/>
          <w:highlight w:val="none"/>
        </w:rPr>
        <w:t>负责县人民代表大会会议、常委会会议、主任会议的服务保障工作；根据主任会议决定草拟有关规范性文件；承办权力机关交办监督工作辅助事项；负责办理县人民代表大会选举工作及其常务委员会人事任免事项；组织办理县人大代表提出的建议、批评和意见，办理县人大代表和人民群众来信、来访工作；负责常委会交办的其他事宜，为常委会履职发挥参谋助手作用。</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二、机构设置</w:t>
      </w:r>
      <w:bookmarkEnd w:id="14"/>
      <w:bookmarkEnd w:id="15"/>
      <w:bookmarkEnd w:id="16"/>
      <w:bookmarkEnd w:id="17"/>
      <w:bookmarkEnd w:id="18"/>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黑体" w:hAnsi="ˎ̥" w:eastAsia="黑体"/>
          <w:color w:val="auto"/>
          <w:sz w:val="32"/>
          <w:szCs w:val="32"/>
          <w:highlight w:val="none"/>
        </w:rPr>
      </w:pPr>
      <w:bookmarkStart w:id="19" w:name="_Toc30690_WPSOffice_Level1"/>
      <w:bookmarkStart w:id="20" w:name="_Toc30451_WPSOffice_Level1"/>
      <w:bookmarkStart w:id="21" w:name="_Toc28253_WPSOffice_Level1"/>
      <w:bookmarkStart w:id="22" w:name="_Toc15521_WPSOffice_Level1"/>
      <w:bookmarkStart w:id="23" w:name="_Toc6234_WPSOffice_Level1"/>
      <w:bookmarkStart w:id="24" w:name="_Toc8164_WPSOffice_Level1"/>
      <w:bookmarkStart w:id="25" w:name="_Toc32695_WPSOffice_Level2"/>
      <w:bookmarkStart w:id="26" w:name="_Toc8867_WPSOffice_Level2"/>
      <w:bookmarkStart w:id="27" w:name="_Toc32472_WPSOffice_Level2"/>
      <w:bookmarkStart w:id="28" w:name="_Toc11518_WPSOffice_Level2"/>
      <w:bookmarkStart w:id="29" w:name="_Toc4029_WPSOffice_Level2"/>
      <w:bookmarkStart w:id="30" w:name="_Toc6211_WPSOffice_Level2"/>
      <w:r>
        <w:rPr>
          <w:rFonts w:hint="eastAsia" w:ascii="仿宋_GB2312" w:hAnsi="宋体" w:eastAsia="仿宋_GB2312" w:cs="宋体"/>
          <w:color w:val="auto"/>
          <w:kern w:val="0"/>
          <w:sz w:val="32"/>
          <w:szCs w:val="24"/>
          <w:highlight w:val="none"/>
          <w:lang w:val="en"/>
        </w:rPr>
        <w:t>墨脱县人民代表大会设有财政经济委员会、教育科技文化卫生委员会、社会建设委员会；墨脱县人民代表大会常务委员会是墨脱县人民代表大会的常设机构；墨脱县人大常委会办公室是墨脱县人大常委会的办事机构，设人大办公室。</w:t>
      </w:r>
      <w:r>
        <w:rPr>
          <w:rFonts w:hint="eastAsia" w:ascii="仿宋_GB2312" w:hAnsi="仿宋_GB2312" w:eastAsia="仿宋_GB2312" w:cs="仿宋_GB2312"/>
          <w:color w:val="auto"/>
          <w:kern w:val="0"/>
          <w:sz w:val="32"/>
          <w:szCs w:val="32"/>
          <w:highlight w:val="none"/>
          <w:shd w:val="clear" w:color="auto" w:fill="FFFFFF"/>
          <w:lang w:eastAsia="zh-CN" w:bidi="ar"/>
        </w:rPr>
        <w:t>人大</w:t>
      </w:r>
      <w:r>
        <w:rPr>
          <w:rFonts w:hint="eastAsia" w:ascii="仿宋_GB2312" w:hAnsi="仿宋_GB2312" w:eastAsia="仿宋_GB2312" w:cs="仿宋_GB2312"/>
          <w:color w:val="auto"/>
          <w:kern w:val="0"/>
          <w:sz w:val="32"/>
          <w:szCs w:val="32"/>
          <w:highlight w:val="none"/>
          <w:shd w:val="clear" w:color="auto" w:fill="FFFFFF"/>
          <w:lang w:bidi="ar"/>
        </w:rPr>
        <w:t>编制数</w:t>
      </w:r>
      <w:r>
        <w:rPr>
          <w:rFonts w:hint="eastAsia" w:ascii="仿宋_GB2312" w:hAnsi="仿宋_GB2312" w:eastAsia="仿宋_GB2312" w:cs="仿宋_GB2312"/>
          <w:color w:val="auto"/>
          <w:kern w:val="0"/>
          <w:sz w:val="32"/>
          <w:szCs w:val="32"/>
          <w:highlight w:val="none"/>
          <w:shd w:val="clear" w:color="auto" w:fill="FFFFFF"/>
          <w:lang w:val="en-US" w:eastAsia="zh-CN" w:bidi="ar"/>
        </w:rPr>
        <w:t>8</w:t>
      </w:r>
      <w:r>
        <w:rPr>
          <w:rFonts w:hint="eastAsia" w:ascii="仿宋_GB2312" w:hAnsi="仿宋_GB2312" w:eastAsia="仿宋_GB2312" w:cs="仿宋_GB2312"/>
          <w:color w:val="auto"/>
          <w:kern w:val="0"/>
          <w:sz w:val="32"/>
          <w:szCs w:val="32"/>
          <w:highlight w:val="none"/>
          <w:shd w:val="clear" w:color="auto" w:fill="FFFFFF"/>
          <w:lang w:bidi="ar"/>
        </w:rPr>
        <w:t>名，其中行政编制数</w:t>
      </w:r>
      <w:r>
        <w:rPr>
          <w:rFonts w:hint="eastAsia" w:ascii="仿宋_GB2312" w:hAnsi="仿宋_GB2312" w:eastAsia="仿宋_GB2312" w:cs="仿宋_GB2312"/>
          <w:color w:val="auto"/>
          <w:kern w:val="0"/>
          <w:sz w:val="32"/>
          <w:szCs w:val="32"/>
          <w:highlight w:val="none"/>
          <w:shd w:val="clear" w:color="auto" w:fill="FFFFFF"/>
          <w:lang w:val="en-US" w:eastAsia="zh-CN" w:bidi="ar"/>
        </w:rPr>
        <w:t>8</w:t>
      </w:r>
      <w:r>
        <w:rPr>
          <w:rFonts w:hint="eastAsia" w:ascii="仿宋_GB2312" w:hAnsi="仿宋_GB2312" w:eastAsia="仿宋_GB2312" w:cs="仿宋_GB2312"/>
          <w:color w:val="auto"/>
          <w:kern w:val="0"/>
          <w:sz w:val="32"/>
          <w:szCs w:val="32"/>
          <w:highlight w:val="none"/>
          <w:shd w:val="clear" w:color="auto" w:fill="FFFFFF"/>
          <w:lang w:bidi="ar"/>
        </w:rPr>
        <w:t>名；2</w:t>
      </w:r>
      <w:r>
        <w:rPr>
          <w:rFonts w:ascii="仿宋_GB2312" w:hAnsi="仿宋_GB2312" w:eastAsia="仿宋_GB2312" w:cs="仿宋_GB2312"/>
          <w:color w:val="auto"/>
          <w:kern w:val="0"/>
          <w:sz w:val="32"/>
          <w:szCs w:val="32"/>
          <w:highlight w:val="none"/>
          <w:shd w:val="clear" w:color="auto" w:fill="FFFFFF"/>
          <w:lang w:bidi="ar"/>
        </w:rPr>
        <w:t>02</w:t>
      </w:r>
      <w:r>
        <w:rPr>
          <w:rFonts w:hint="eastAsia" w:ascii="仿宋_GB2312" w:hAnsi="仿宋_GB2312" w:eastAsia="仿宋_GB2312" w:cs="仿宋_GB2312"/>
          <w:color w:val="auto"/>
          <w:kern w:val="0"/>
          <w:sz w:val="32"/>
          <w:szCs w:val="32"/>
          <w:highlight w:val="none"/>
          <w:shd w:val="clear" w:color="auto" w:fill="FFFFFF"/>
          <w:lang w:val="en-US" w:eastAsia="zh-CN" w:bidi="ar"/>
        </w:rPr>
        <w:t>4</w:t>
      </w:r>
      <w:r>
        <w:rPr>
          <w:rFonts w:hint="eastAsia" w:ascii="仿宋_GB2312" w:hAnsi="仿宋_GB2312" w:eastAsia="仿宋_GB2312" w:cs="仿宋_GB2312"/>
          <w:color w:val="auto"/>
          <w:kern w:val="0"/>
          <w:sz w:val="32"/>
          <w:szCs w:val="32"/>
          <w:highlight w:val="none"/>
          <w:shd w:val="clear" w:color="auto" w:fill="FFFFFF"/>
          <w:lang w:bidi="ar"/>
        </w:rPr>
        <w:t>年在职人数</w:t>
      </w:r>
      <w:r>
        <w:rPr>
          <w:rFonts w:hint="eastAsia" w:ascii="仿宋_GB2312" w:hAnsi="仿宋_GB2312" w:eastAsia="仿宋_GB2312" w:cs="仿宋_GB2312"/>
          <w:color w:val="auto"/>
          <w:kern w:val="0"/>
          <w:sz w:val="32"/>
          <w:szCs w:val="32"/>
          <w:highlight w:val="none"/>
          <w:shd w:val="clear" w:color="auto" w:fill="FFFFFF"/>
          <w:lang w:val="en-US" w:eastAsia="zh-CN" w:bidi="ar"/>
        </w:rPr>
        <w:t>21</w:t>
      </w:r>
      <w:r>
        <w:rPr>
          <w:rFonts w:hint="eastAsia" w:ascii="仿宋_GB2312" w:hAnsi="仿宋_GB2312" w:eastAsia="仿宋_GB2312" w:cs="仿宋_GB2312"/>
          <w:color w:val="auto"/>
          <w:kern w:val="0"/>
          <w:sz w:val="32"/>
          <w:szCs w:val="32"/>
          <w:highlight w:val="none"/>
          <w:shd w:val="clear" w:color="auto" w:fill="FFFFFF"/>
          <w:lang w:bidi="ar"/>
        </w:rPr>
        <w:t>名，行政人员</w:t>
      </w:r>
      <w:r>
        <w:rPr>
          <w:rFonts w:hint="eastAsia" w:ascii="仿宋_GB2312" w:hAnsi="仿宋_GB2312" w:eastAsia="仿宋_GB2312" w:cs="仿宋_GB2312"/>
          <w:color w:val="auto"/>
          <w:kern w:val="0"/>
          <w:sz w:val="32"/>
          <w:szCs w:val="32"/>
          <w:highlight w:val="none"/>
          <w:shd w:val="clear" w:color="auto" w:fill="FFFFFF"/>
          <w:lang w:val="en-US" w:eastAsia="zh-CN" w:bidi="ar"/>
        </w:rPr>
        <w:t>21</w:t>
      </w:r>
      <w:r>
        <w:rPr>
          <w:rFonts w:hint="eastAsia" w:ascii="仿宋_GB2312" w:hAnsi="仿宋_GB2312" w:eastAsia="仿宋_GB2312" w:cs="仿宋_GB2312"/>
          <w:color w:val="auto"/>
          <w:kern w:val="0"/>
          <w:sz w:val="32"/>
          <w:szCs w:val="32"/>
          <w:highlight w:val="none"/>
          <w:shd w:val="clear" w:color="auto" w:fill="FFFFFF"/>
          <w:lang w:bidi="ar"/>
        </w:rPr>
        <w:t>名。</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黑体" w:hAnsi="ˎ̥" w:eastAsia="黑体"/>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黑体" w:hAnsi="ˎ̥" w:eastAsia="黑体"/>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黑体" w:hAnsi="ˎ̥" w:eastAsia="黑体"/>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黑体" w:hAnsi="ˎ̥" w:eastAsia="黑体"/>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黑体" w:hAnsi="ˎ̥" w:eastAsia="黑体"/>
          <w:color w:val="auto"/>
          <w:sz w:val="32"/>
          <w:szCs w:val="32"/>
          <w:highlight w:val="none"/>
        </w:rPr>
      </w:pPr>
      <w:r>
        <w:rPr>
          <w:rFonts w:hint="eastAsia" w:ascii="黑体" w:hAnsi="ˎ̥" w:eastAsia="黑体"/>
          <w:color w:val="auto"/>
          <w:sz w:val="32"/>
          <w:szCs w:val="32"/>
          <w:highlight w:val="none"/>
        </w:rPr>
        <w:t xml:space="preserve">第二部分  </w:t>
      </w:r>
      <w:r>
        <w:rPr>
          <w:rFonts w:hint="default" w:ascii="黑体" w:hAnsi="ˎ̥" w:eastAsia="黑体"/>
          <w:color w:val="auto"/>
          <w:sz w:val="32"/>
          <w:szCs w:val="32"/>
          <w:highlight w:val="none"/>
          <w:lang w:val="en-US"/>
        </w:rPr>
        <w:t>2024</w:t>
      </w:r>
      <w:r>
        <w:rPr>
          <w:rFonts w:hint="eastAsia" w:ascii="黑体" w:hAnsi="ˎ̥" w:eastAsia="黑体"/>
          <w:color w:val="auto"/>
          <w:sz w:val="32"/>
          <w:szCs w:val="32"/>
          <w:highlight w:val="none"/>
        </w:rPr>
        <w:t>年度部门决算公开报表</w:t>
      </w:r>
      <w:bookmarkEnd w:id="19"/>
      <w:bookmarkEnd w:id="20"/>
      <w:bookmarkEnd w:id="21"/>
      <w:bookmarkEnd w:id="22"/>
      <w:bookmarkEnd w:id="23"/>
      <w:bookmarkEnd w:id="24"/>
    </w:p>
    <w:p>
      <w:pPr>
        <w:keepNext w:val="0"/>
        <w:keepLines w:val="0"/>
        <w:pageBreakBefore w:val="0"/>
        <w:kinsoku/>
        <w:wordWrap/>
        <w:overflowPunct/>
        <w:topLinePunct w:val="0"/>
        <w:autoSpaceDE/>
        <w:autoSpaceDN/>
        <w:bidi w:val="0"/>
        <w:adjustRightInd w:val="0"/>
        <w:snapToGrid w:val="0"/>
        <w:spacing w:line="576" w:lineRule="exact"/>
        <w:ind w:firstLine="645"/>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76" w:lineRule="exact"/>
        <w:ind w:firstLine="645"/>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一、收入支出决算公开表</w:t>
      </w:r>
      <w:bookmarkEnd w:id="25"/>
      <w:bookmarkEnd w:id="26"/>
      <w:bookmarkEnd w:id="27"/>
      <w:bookmarkEnd w:id="28"/>
      <w:bookmarkEnd w:id="29"/>
      <w:bookmarkEnd w:id="30"/>
    </w:p>
    <w:p>
      <w:pPr>
        <w:keepNext w:val="0"/>
        <w:keepLines w:val="0"/>
        <w:pageBreakBefore w:val="0"/>
        <w:kinsoku/>
        <w:wordWrap/>
        <w:overflowPunct/>
        <w:topLinePunct w:val="0"/>
        <w:autoSpaceDE/>
        <w:autoSpaceDN/>
        <w:bidi w:val="0"/>
        <w:adjustRightInd w:val="0"/>
        <w:snapToGrid w:val="0"/>
        <w:spacing w:line="576" w:lineRule="exact"/>
        <w:ind w:firstLine="645"/>
        <w:textAlignment w:val="auto"/>
        <w:rPr>
          <w:rFonts w:hint="eastAsia" w:ascii="黑体" w:hAnsi="黑体" w:eastAsia="黑体" w:cs="黑体"/>
          <w:color w:val="auto"/>
          <w:sz w:val="32"/>
          <w:szCs w:val="32"/>
          <w:highlight w:val="none"/>
        </w:rPr>
      </w:pPr>
      <w:bookmarkStart w:id="31" w:name="_Toc23139_WPSOffice_Level2"/>
      <w:bookmarkStart w:id="32" w:name="_Toc28622_WPSOffice_Level2"/>
      <w:bookmarkStart w:id="33" w:name="_Toc14349_WPSOffice_Level2"/>
      <w:bookmarkStart w:id="34" w:name="_Toc25608_WPSOffice_Level2"/>
      <w:bookmarkStart w:id="35" w:name="_Toc30334_WPSOffice_Level2"/>
      <w:bookmarkStart w:id="36" w:name="_Toc26621_WPSOffice_Level2"/>
      <w:r>
        <w:rPr>
          <w:rFonts w:hint="eastAsia" w:ascii="黑体" w:hAnsi="黑体" w:eastAsia="黑体" w:cs="黑体"/>
          <w:color w:val="auto"/>
          <w:sz w:val="32"/>
          <w:szCs w:val="32"/>
          <w:highlight w:val="none"/>
        </w:rPr>
        <w:t>二、收入决算公开表</w:t>
      </w:r>
      <w:bookmarkEnd w:id="31"/>
      <w:bookmarkEnd w:id="32"/>
      <w:bookmarkEnd w:id="33"/>
      <w:bookmarkEnd w:id="34"/>
      <w:bookmarkEnd w:id="35"/>
      <w:bookmarkEnd w:id="36"/>
      <w:bookmarkStart w:id="37" w:name="_Toc13854_WPSOffice_Level2"/>
      <w:bookmarkStart w:id="38" w:name="_Toc17626_WPSOffice_Level2"/>
      <w:bookmarkStart w:id="39" w:name="_Toc5489_WPSOffice_Level2"/>
      <w:bookmarkStart w:id="40" w:name="_Toc14658_WPSOffice_Level2"/>
      <w:bookmarkStart w:id="41" w:name="_Toc3262_WPSOffice_Level2"/>
      <w:bookmarkStart w:id="42" w:name="_Toc17858_WPSOffice_Level2"/>
    </w:p>
    <w:p>
      <w:pPr>
        <w:keepNext w:val="0"/>
        <w:keepLines w:val="0"/>
        <w:pageBreakBefore w:val="0"/>
        <w:kinsoku/>
        <w:wordWrap/>
        <w:overflowPunct/>
        <w:topLinePunct w:val="0"/>
        <w:autoSpaceDE/>
        <w:autoSpaceDN/>
        <w:bidi w:val="0"/>
        <w:adjustRightInd w:val="0"/>
        <w:snapToGrid w:val="0"/>
        <w:spacing w:line="576" w:lineRule="exact"/>
        <w:ind w:firstLine="645"/>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三、支出决算公开表</w:t>
      </w:r>
      <w:bookmarkEnd w:id="37"/>
      <w:bookmarkEnd w:id="38"/>
      <w:bookmarkEnd w:id="39"/>
      <w:bookmarkEnd w:id="40"/>
      <w:bookmarkEnd w:id="41"/>
      <w:bookmarkEnd w:id="42"/>
      <w:bookmarkStart w:id="43" w:name="_Toc21415_WPSOffice_Level2"/>
      <w:bookmarkStart w:id="44" w:name="_Toc23493_WPSOffice_Level2"/>
      <w:bookmarkStart w:id="45" w:name="_Toc7988_WPSOffice_Level2"/>
      <w:bookmarkStart w:id="46" w:name="_Toc13701_WPSOffice_Level2"/>
      <w:bookmarkStart w:id="47" w:name="_Toc4265_WPSOffice_Level2"/>
      <w:bookmarkStart w:id="48" w:name="_Toc23591_WPSOffice_Level2"/>
    </w:p>
    <w:p>
      <w:pPr>
        <w:keepNext w:val="0"/>
        <w:keepLines w:val="0"/>
        <w:pageBreakBefore w:val="0"/>
        <w:kinsoku/>
        <w:wordWrap/>
        <w:overflowPunct/>
        <w:topLinePunct w:val="0"/>
        <w:autoSpaceDE/>
        <w:autoSpaceDN/>
        <w:bidi w:val="0"/>
        <w:adjustRightInd w:val="0"/>
        <w:snapToGrid w:val="0"/>
        <w:spacing w:line="576" w:lineRule="exact"/>
        <w:ind w:firstLine="645"/>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四、财政拨款收入支出决算公开表</w:t>
      </w:r>
      <w:bookmarkEnd w:id="43"/>
      <w:bookmarkEnd w:id="44"/>
      <w:bookmarkEnd w:id="45"/>
      <w:bookmarkEnd w:id="46"/>
      <w:bookmarkEnd w:id="47"/>
      <w:bookmarkEnd w:id="48"/>
    </w:p>
    <w:p>
      <w:pPr>
        <w:keepNext w:val="0"/>
        <w:keepLines w:val="0"/>
        <w:pageBreakBefore w:val="0"/>
        <w:kinsoku/>
        <w:wordWrap/>
        <w:overflowPunct/>
        <w:topLinePunct w:val="0"/>
        <w:autoSpaceDE/>
        <w:autoSpaceDN/>
        <w:bidi w:val="0"/>
        <w:adjustRightInd w:val="0"/>
        <w:snapToGrid w:val="0"/>
        <w:spacing w:line="576" w:lineRule="exact"/>
        <w:ind w:firstLine="645"/>
        <w:textAlignment w:val="auto"/>
        <w:rPr>
          <w:rFonts w:hint="eastAsia" w:ascii="黑体" w:hAnsi="黑体" w:eastAsia="黑体" w:cs="黑体"/>
          <w:color w:val="auto"/>
          <w:sz w:val="32"/>
          <w:szCs w:val="32"/>
          <w:highlight w:val="none"/>
        </w:rPr>
      </w:pPr>
      <w:bookmarkStart w:id="49" w:name="_Toc22783_WPSOffice_Level2"/>
      <w:bookmarkStart w:id="50" w:name="_Toc7879_WPSOffice_Level2"/>
      <w:bookmarkStart w:id="51" w:name="_Toc23829_WPSOffice_Level2"/>
      <w:bookmarkStart w:id="52" w:name="_Toc25166_WPSOffice_Level2"/>
      <w:bookmarkStart w:id="53" w:name="_Toc13516_WPSOffice_Level2"/>
      <w:bookmarkStart w:id="54" w:name="_Toc2158_WPSOffice_Level2"/>
      <w:r>
        <w:rPr>
          <w:rFonts w:hint="eastAsia" w:ascii="黑体" w:hAnsi="黑体" w:eastAsia="黑体" w:cs="黑体"/>
          <w:color w:val="auto"/>
          <w:sz w:val="32"/>
          <w:szCs w:val="32"/>
          <w:highlight w:val="none"/>
        </w:rPr>
        <w:t>五、一般公共预算财政拨款收入支出决算</w:t>
      </w:r>
      <w:bookmarkEnd w:id="49"/>
      <w:bookmarkEnd w:id="50"/>
      <w:bookmarkEnd w:id="51"/>
      <w:bookmarkEnd w:id="52"/>
      <w:r>
        <w:rPr>
          <w:rFonts w:hint="eastAsia" w:ascii="黑体" w:hAnsi="黑体" w:eastAsia="黑体" w:cs="黑体"/>
          <w:color w:val="auto"/>
          <w:sz w:val="32"/>
          <w:szCs w:val="32"/>
          <w:highlight w:val="none"/>
        </w:rPr>
        <w:t>公开表</w:t>
      </w:r>
      <w:bookmarkEnd w:id="53"/>
      <w:bookmarkEnd w:id="54"/>
      <w:bookmarkStart w:id="55" w:name="_Toc5343_WPSOffice_Level2"/>
      <w:bookmarkStart w:id="56" w:name="_Toc17283_WPSOffice_Level2"/>
      <w:bookmarkStart w:id="57" w:name="_Toc25362_WPSOffice_Level2"/>
      <w:bookmarkStart w:id="58" w:name="_Toc2632_WPSOffice_Level2"/>
      <w:bookmarkStart w:id="59" w:name="_Toc8373_WPSOffice_Level2"/>
      <w:bookmarkStart w:id="60" w:name="_Toc17833_WPSOffice_Level2"/>
    </w:p>
    <w:p>
      <w:pPr>
        <w:keepNext w:val="0"/>
        <w:keepLines w:val="0"/>
        <w:pageBreakBefore w:val="0"/>
        <w:kinsoku/>
        <w:wordWrap/>
        <w:overflowPunct/>
        <w:topLinePunct w:val="0"/>
        <w:autoSpaceDE/>
        <w:autoSpaceDN/>
        <w:bidi w:val="0"/>
        <w:adjustRightInd w:val="0"/>
        <w:snapToGrid w:val="0"/>
        <w:spacing w:line="576" w:lineRule="exact"/>
        <w:ind w:firstLine="645"/>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highlight w:val="none"/>
        </w:rPr>
        <w:t>公开表</w:t>
      </w:r>
    </w:p>
    <w:p>
      <w:pPr>
        <w:keepNext w:val="0"/>
        <w:keepLines w:val="0"/>
        <w:pageBreakBefore w:val="0"/>
        <w:kinsoku/>
        <w:wordWrap/>
        <w:overflowPunct/>
        <w:topLinePunct w:val="0"/>
        <w:autoSpaceDE/>
        <w:autoSpaceDN/>
        <w:bidi w:val="0"/>
        <w:adjustRightInd w:val="0"/>
        <w:snapToGrid w:val="0"/>
        <w:spacing w:line="576" w:lineRule="exact"/>
        <w:ind w:left="1118" w:leftChars="304" w:hanging="480" w:hangingChars="150"/>
        <w:textAlignment w:val="auto"/>
        <w:rPr>
          <w:rFonts w:hint="eastAsia" w:ascii="黑体" w:hAnsi="黑体" w:eastAsia="黑体" w:cs="黑体"/>
          <w:color w:val="auto"/>
          <w:sz w:val="32"/>
          <w:szCs w:val="32"/>
          <w:highlight w:val="none"/>
        </w:rPr>
      </w:pPr>
      <w:bookmarkStart w:id="61" w:name="_Toc6020_WPSOffice_Level2"/>
      <w:bookmarkStart w:id="62" w:name="_Toc1533_WPSOffice_Level2"/>
      <w:bookmarkStart w:id="63" w:name="_Toc21310_WPSOffice_Level2"/>
      <w:bookmarkStart w:id="64" w:name="_Toc11799_WPSOffice_Level2"/>
      <w:bookmarkStart w:id="65" w:name="_Toc13345_WPSOffice_Level2"/>
      <w:bookmarkStart w:id="66" w:name="_Toc5594_WPSOffice_Level2"/>
      <w:r>
        <w:rPr>
          <w:rFonts w:hint="eastAsia" w:ascii="黑体" w:hAnsi="黑体" w:eastAsia="黑体" w:cs="黑体"/>
          <w:color w:val="auto"/>
          <w:sz w:val="32"/>
          <w:szCs w:val="32"/>
          <w:highlight w:val="none"/>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highlight w:val="none"/>
        </w:rPr>
        <w:t>公开表</w:t>
      </w:r>
    </w:p>
    <w:p>
      <w:pPr>
        <w:keepNext w:val="0"/>
        <w:keepLines w:val="0"/>
        <w:pageBreakBefore w:val="0"/>
        <w:kinsoku/>
        <w:wordWrap/>
        <w:overflowPunct/>
        <w:topLinePunct w:val="0"/>
        <w:autoSpaceDE/>
        <w:autoSpaceDN/>
        <w:bidi w:val="0"/>
        <w:adjustRightInd w:val="0"/>
        <w:snapToGrid w:val="0"/>
        <w:spacing w:line="576" w:lineRule="exact"/>
        <w:ind w:left="1118" w:leftChars="304" w:hanging="480" w:hangingChars="15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八、国有资本经营预算财政拨款收入支出决算公开表</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黑体" w:hAnsi="黑体" w:eastAsia="黑体" w:cs="黑体"/>
          <w:color w:val="auto"/>
          <w:sz w:val="32"/>
          <w:szCs w:val="32"/>
          <w:highlight w:val="none"/>
        </w:rPr>
      </w:pPr>
      <w:bookmarkStart w:id="67" w:name="_Toc19961_WPSOffice_Level2"/>
      <w:bookmarkStart w:id="68" w:name="_Toc29886_WPSOffice_Level2"/>
      <w:bookmarkStart w:id="69" w:name="_Toc9377_WPSOffice_Level2"/>
      <w:bookmarkStart w:id="70" w:name="_Toc1820_WPSOffice_Level2"/>
      <w:r>
        <w:rPr>
          <w:rFonts w:hint="eastAsia" w:ascii="黑体" w:hAnsi="黑体" w:eastAsia="黑体" w:cs="黑体"/>
          <w:color w:val="auto"/>
          <w:sz w:val="32"/>
          <w:szCs w:val="32"/>
          <w:highlight w:val="none"/>
        </w:rPr>
        <w:t>九、财政拨款“三公”经费支出决算</w:t>
      </w:r>
      <w:bookmarkEnd w:id="67"/>
      <w:bookmarkEnd w:id="68"/>
      <w:bookmarkEnd w:id="69"/>
      <w:bookmarkEnd w:id="70"/>
      <w:r>
        <w:rPr>
          <w:rFonts w:hint="eastAsia" w:ascii="黑体" w:hAnsi="黑体" w:eastAsia="黑体" w:cs="黑体"/>
          <w:color w:val="auto"/>
          <w:sz w:val="32"/>
          <w:szCs w:val="32"/>
          <w:highlight w:val="none"/>
        </w:rPr>
        <w:t>公开表</w:t>
      </w:r>
    </w:p>
    <w:p>
      <w:pPr>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 w:hAnsi="仿宋" w:eastAsia="仿宋" w:cs="仿宋"/>
          <w:color w:val="auto"/>
          <w:w w:val="100"/>
          <w:sz w:val="32"/>
          <w:szCs w:val="32"/>
          <w:highlight w:val="none"/>
        </w:rPr>
      </w:pPr>
      <w:r>
        <w:rPr>
          <w:rFonts w:hint="eastAsia" w:ascii="仿宋" w:hAnsi="仿宋" w:eastAsia="仿宋" w:cs="仿宋"/>
          <w:color w:val="auto"/>
          <w:w w:val="100"/>
          <w:sz w:val="32"/>
          <w:szCs w:val="32"/>
          <w:highlight w:val="none"/>
        </w:rPr>
        <w:t>以上报表见附件1。</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黑体" w:hAnsi="ˎ̥" w:eastAsia="黑体"/>
          <w:color w:val="auto"/>
          <w:sz w:val="32"/>
          <w:szCs w:val="32"/>
          <w:highlight w:val="none"/>
        </w:rPr>
      </w:pPr>
      <w:bookmarkStart w:id="71" w:name="_Toc31264_WPSOffice_Level1"/>
      <w:bookmarkStart w:id="72" w:name="_Toc16686_WPSOffice_Level1"/>
      <w:bookmarkStart w:id="73" w:name="_Toc27590_WPSOffice_Level1"/>
      <w:bookmarkStart w:id="74" w:name="_Toc28629_WPSOffice_Level1"/>
      <w:bookmarkStart w:id="75" w:name="_Toc29683_WPSOffice_Level1"/>
      <w:bookmarkStart w:id="76" w:name="_Toc4402_WPSOffice_Level1"/>
      <w:r>
        <w:rPr>
          <w:rFonts w:hint="eastAsia" w:ascii="黑体" w:hAnsi="ˎ̥" w:eastAsia="黑体"/>
          <w:color w:val="auto"/>
          <w:sz w:val="32"/>
          <w:szCs w:val="32"/>
          <w:highlight w:val="none"/>
        </w:rPr>
        <w:t xml:space="preserve">第三部分  </w:t>
      </w:r>
      <w:r>
        <w:rPr>
          <w:rFonts w:hint="default" w:ascii="黑体" w:hAnsi="ˎ̥" w:eastAsia="黑体"/>
          <w:color w:val="auto"/>
          <w:sz w:val="32"/>
          <w:szCs w:val="32"/>
          <w:highlight w:val="none"/>
          <w:lang w:val="en-US"/>
        </w:rPr>
        <w:t>2024</w:t>
      </w:r>
      <w:r>
        <w:rPr>
          <w:rFonts w:hint="eastAsia" w:ascii="黑体" w:hAnsi="ˎ̥" w:eastAsia="黑体"/>
          <w:color w:val="auto"/>
          <w:sz w:val="32"/>
          <w:szCs w:val="32"/>
          <w:highlight w:val="none"/>
        </w:rPr>
        <w:t>年度部门决算情况说明</w:t>
      </w:r>
      <w:bookmarkEnd w:id="71"/>
      <w:bookmarkEnd w:id="72"/>
      <w:bookmarkEnd w:id="73"/>
      <w:bookmarkEnd w:id="74"/>
      <w:bookmarkEnd w:id="75"/>
      <w:bookmarkEnd w:id="76"/>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黑体" w:hAnsi="ˎ̥"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一、收入支出总体情况说明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年度收入总计</w:t>
      </w:r>
      <w:r>
        <w:rPr>
          <w:rFonts w:hint="default" w:ascii="仿宋_GB2312" w:hAnsi="ˎ̥" w:eastAsia="仿宋_GB2312"/>
          <w:color w:val="auto"/>
          <w:sz w:val="32"/>
          <w:szCs w:val="32"/>
          <w:highlight w:val="none"/>
          <w:lang w:val="en-US"/>
        </w:rPr>
        <w:t>788.97</w:t>
      </w:r>
      <w:r>
        <w:rPr>
          <w:rFonts w:hint="eastAsia" w:ascii="仿宋_GB2312" w:hAnsi="ˎ̥" w:eastAsia="仿宋_GB2312"/>
          <w:color w:val="auto"/>
          <w:sz w:val="32"/>
          <w:szCs w:val="32"/>
          <w:highlight w:val="none"/>
        </w:rPr>
        <w:t>万元，支出总计</w:t>
      </w:r>
      <w:r>
        <w:rPr>
          <w:rFonts w:hint="default" w:ascii="仿宋_GB2312" w:hAnsi="ˎ̥" w:eastAsia="仿宋_GB2312"/>
          <w:color w:val="auto"/>
          <w:sz w:val="32"/>
          <w:szCs w:val="32"/>
          <w:highlight w:val="none"/>
          <w:lang w:val="en-US"/>
        </w:rPr>
        <w:t>788.97</w:t>
      </w:r>
      <w:r>
        <w:rPr>
          <w:rFonts w:hint="eastAsia" w:ascii="仿宋_GB2312" w:hAnsi="ˎ̥" w:eastAsia="仿宋_GB2312"/>
          <w:color w:val="auto"/>
          <w:sz w:val="32"/>
          <w:szCs w:val="32"/>
          <w:highlight w:val="none"/>
        </w:rPr>
        <w:t>万元，与</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年度相比，收入、支出总计各增加</w:t>
      </w:r>
      <w:r>
        <w:rPr>
          <w:rFonts w:hint="eastAsia" w:ascii="仿宋_GB2312" w:hAnsi="ˎ̥" w:eastAsia="仿宋_GB2312"/>
          <w:color w:val="auto"/>
          <w:sz w:val="32"/>
          <w:szCs w:val="32"/>
          <w:highlight w:val="none"/>
          <w:lang w:val="en-US" w:eastAsia="zh-CN"/>
        </w:rPr>
        <w:t>122.78</w:t>
      </w:r>
      <w:r>
        <w:rPr>
          <w:rFonts w:hint="eastAsia" w:ascii="仿宋_GB2312" w:hAnsi="ˎ̥" w:eastAsia="仿宋_GB2312"/>
          <w:color w:val="auto"/>
          <w:sz w:val="32"/>
          <w:szCs w:val="32"/>
          <w:highlight w:val="none"/>
        </w:rPr>
        <w:t>万元，增长</w:t>
      </w:r>
      <w:r>
        <w:rPr>
          <w:rFonts w:hint="eastAsia" w:ascii="仿宋_GB2312" w:hAnsi="ˎ̥" w:eastAsia="仿宋_GB2312"/>
          <w:color w:val="auto"/>
          <w:sz w:val="32"/>
          <w:szCs w:val="32"/>
          <w:highlight w:val="none"/>
          <w:lang w:val="en-US" w:eastAsia="zh-CN"/>
        </w:rPr>
        <w:t>18.43</w:t>
      </w:r>
      <w:r>
        <w:rPr>
          <w:rFonts w:hint="eastAsia" w:ascii="仿宋_GB2312" w:hAnsi="ˎ̥" w:eastAsia="仿宋_GB2312"/>
          <w:color w:val="auto"/>
          <w:sz w:val="32"/>
          <w:szCs w:val="32"/>
          <w:highlight w:val="none"/>
        </w:rPr>
        <w:t>%。主要原因是</w:t>
      </w:r>
      <w:r>
        <w:rPr>
          <w:rFonts w:hint="eastAsia" w:ascii="仿宋_GB2312" w:hAnsi="ˎ̥" w:eastAsia="仿宋_GB2312"/>
          <w:color w:val="auto"/>
          <w:sz w:val="32"/>
          <w:szCs w:val="32"/>
          <w:highlight w:val="none"/>
          <w:lang w:eastAsia="zh-CN"/>
        </w:rPr>
        <w:t>人员变动的影响</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（一</w:t>
      </w:r>
      <w:r>
        <w:rPr>
          <w:rFonts w:ascii="楷体" w:hAnsi="楷体" w:eastAsia="楷体" w:cs="楷体"/>
          <w:color w:val="auto"/>
          <w:sz w:val="32"/>
          <w:szCs w:val="32"/>
          <w:highlight w:val="none"/>
        </w:rPr>
        <w:t>）</w:t>
      </w:r>
      <w:r>
        <w:rPr>
          <w:rFonts w:hint="eastAsia" w:ascii="楷体" w:hAnsi="楷体" w:eastAsia="楷体" w:cs="楷体"/>
          <w:color w:val="auto"/>
          <w:sz w:val="32"/>
          <w:szCs w:val="32"/>
          <w:highlight w:val="none"/>
        </w:rPr>
        <w:t>收入</w:t>
      </w:r>
      <w:r>
        <w:rPr>
          <w:rFonts w:ascii="楷体" w:hAnsi="楷体" w:eastAsia="楷体" w:cs="楷体"/>
          <w:color w:val="auto"/>
          <w:sz w:val="32"/>
          <w:szCs w:val="32"/>
          <w:highlight w:val="none"/>
        </w:rPr>
        <w:t>总计</w:t>
      </w:r>
      <w:r>
        <w:rPr>
          <w:rFonts w:hint="eastAsia" w:ascii="楷体" w:hAnsi="楷体" w:eastAsia="楷体" w:cs="楷体"/>
          <w:color w:val="auto"/>
          <w:sz w:val="32"/>
          <w:szCs w:val="32"/>
          <w:highlight w:val="none"/>
        </w:rPr>
        <w:t>主要</w:t>
      </w:r>
      <w:r>
        <w:rPr>
          <w:rFonts w:ascii="楷体" w:hAnsi="楷体" w:eastAsia="楷体" w:cs="楷体"/>
          <w:color w:val="auto"/>
          <w:sz w:val="32"/>
          <w:szCs w:val="32"/>
          <w:highlight w:val="none"/>
        </w:rPr>
        <w:t>构成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lang w:eastAsia="zh-CN"/>
        </w:rPr>
      </w:pPr>
      <w:r>
        <w:rPr>
          <w:rFonts w:hint="eastAsia" w:ascii="仿宋_GB2312" w:hAnsi="ˎ̥" w:eastAsia="仿宋_GB2312"/>
          <w:color w:val="auto"/>
          <w:sz w:val="32"/>
          <w:szCs w:val="32"/>
          <w:highlight w:val="none"/>
        </w:rPr>
        <w:t>本年</w:t>
      </w:r>
      <w:r>
        <w:rPr>
          <w:rFonts w:ascii="仿宋_GB2312" w:hAnsi="ˎ̥" w:eastAsia="仿宋_GB2312"/>
          <w:color w:val="auto"/>
          <w:sz w:val="32"/>
          <w:szCs w:val="32"/>
          <w:highlight w:val="none"/>
        </w:rPr>
        <w:t>收入</w:t>
      </w:r>
      <w:r>
        <w:rPr>
          <w:rFonts w:hint="default" w:ascii="仿宋_GB2312" w:hAnsi="ˎ̥" w:eastAsia="仿宋_GB2312"/>
          <w:color w:val="auto"/>
          <w:sz w:val="32"/>
          <w:szCs w:val="32"/>
          <w:highlight w:val="none"/>
          <w:lang w:val="en-US"/>
        </w:rPr>
        <w:t>788.97</w:t>
      </w:r>
      <w:r>
        <w:rPr>
          <w:rFonts w:hint="eastAsia" w:ascii="仿宋_GB2312" w:hAnsi="ˎ̥" w:eastAsia="仿宋_GB2312"/>
          <w:color w:val="auto"/>
          <w:sz w:val="32"/>
          <w:szCs w:val="32"/>
          <w:highlight w:val="none"/>
        </w:rPr>
        <w:t>万元</w:t>
      </w:r>
      <w:r>
        <w:rPr>
          <w:rFonts w:hint="eastAsia" w:ascii="仿宋_GB2312" w:hAnsi="ˎ̥"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rPr>
        <w:t>（二</w:t>
      </w:r>
      <w:r>
        <w:rPr>
          <w:rFonts w:ascii="楷体" w:hAnsi="楷体" w:eastAsia="楷体" w:cs="楷体"/>
          <w:color w:val="auto"/>
          <w:sz w:val="32"/>
          <w:szCs w:val="32"/>
          <w:highlight w:val="none"/>
        </w:rPr>
        <w:t>）</w:t>
      </w:r>
      <w:r>
        <w:rPr>
          <w:rFonts w:hint="eastAsia" w:ascii="楷体" w:hAnsi="楷体" w:eastAsia="楷体" w:cs="楷体"/>
          <w:color w:val="auto"/>
          <w:sz w:val="32"/>
          <w:szCs w:val="32"/>
          <w:highlight w:val="none"/>
        </w:rPr>
        <w:t>支出</w:t>
      </w:r>
      <w:r>
        <w:rPr>
          <w:rFonts w:ascii="楷体" w:hAnsi="楷体" w:eastAsia="楷体" w:cs="楷体"/>
          <w:color w:val="auto"/>
          <w:sz w:val="32"/>
          <w:szCs w:val="32"/>
          <w:highlight w:val="none"/>
        </w:rPr>
        <w:t>总计</w:t>
      </w:r>
      <w:r>
        <w:rPr>
          <w:rFonts w:hint="eastAsia" w:ascii="楷体" w:hAnsi="楷体" w:eastAsia="楷体" w:cs="楷体"/>
          <w:color w:val="auto"/>
          <w:sz w:val="32"/>
          <w:szCs w:val="32"/>
          <w:highlight w:val="none"/>
        </w:rPr>
        <w:t>主要</w:t>
      </w:r>
      <w:r>
        <w:rPr>
          <w:rFonts w:ascii="楷体" w:hAnsi="楷体" w:eastAsia="楷体" w:cs="楷体"/>
          <w:color w:val="auto"/>
          <w:sz w:val="32"/>
          <w:szCs w:val="32"/>
          <w:highlight w:val="none"/>
        </w:rPr>
        <w:t>构成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本年支出</w:t>
      </w:r>
      <w:r>
        <w:rPr>
          <w:rFonts w:hint="default" w:ascii="仿宋_GB2312" w:hAnsi="ˎ̥" w:eastAsia="仿宋_GB2312"/>
          <w:color w:val="auto"/>
          <w:sz w:val="32"/>
          <w:szCs w:val="32"/>
          <w:highlight w:val="none"/>
          <w:lang w:val="en-US"/>
        </w:rPr>
        <w:t>788.97</w:t>
      </w:r>
      <w:r>
        <w:rPr>
          <w:rFonts w:hint="eastAsia" w:ascii="仿宋_GB2312" w:hAnsi="ˎ̥" w:eastAsia="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二、收入决算情况说明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本年收入</w:t>
      </w:r>
      <w:r>
        <w:rPr>
          <w:rFonts w:hint="default" w:ascii="仿宋_GB2312" w:hAnsi="ˎ̥" w:eastAsia="仿宋_GB2312"/>
          <w:color w:val="auto"/>
          <w:sz w:val="32"/>
          <w:szCs w:val="32"/>
          <w:highlight w:val="none"/>
          <w:lang w:val="en-US"/>
        </w:rPr>
        <w:t>788.97</w:t>
      </w:r>
      <w:r>
        <w:rPr>
          <w:rFonts w:hint="eastAsia" w:ascii="仿宋_GB2312" w:hAnsi="ˎ̥" w:eastAsia="仿宋_GB2312"/>
          <w:color w:val="auto"/>
          <w:sz w:val="32"/>
          <w:szCs w:val="32"/>
          <w:highlight w:val="none"/>
        </w:rPr>
        <w:t>万元，其中：财政拨款收入</w:t>
      </w:r>
      <w:r>
        <w:rPr>
          <w:rFonts w:hint="default" w:ascii="仿宋_GB2312" w:hAnsi="ˎ̥" w:eastAsia="仿宋_GB2312"/>
          <w:color w:val="auto"/>
          <w:sz w:val="32"/>
          <w:szCs w:val="32"/>
          <w:highlight w:val="none"/>
          <w:lang w:val="en-US"/>
        </w:rPr>
        <w:t>788.97</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三、支出决算情况说明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本年支出</w:t>
      </w:r>
      <w:r>
        <w:rPr>
          <w:rFonts w:hint="default" w:ascii="仿宋_GB2312" w:hAnsi="ˎ̥" w:eastAsia="仿宋_GB2312"/>
          <w:color w:val="auto"/>
          <w:sz w:val="32"/>
          <w:szCs w:val="32"/>
          <w:highlight w:val="none"/>
          <w:lang w:val="en-US"/>
        </w:rPr>
        <w:t>788.97</w:t>
      </w:r>
      <w:r>
        <w:rPr>
          <w:rFonts w:hint="eastAsia" w:ascii="仿宋_GB2312" w:hAnsi="ˎ̥" w:eastAsia="仿宋_GB2312"/>
          <w:color w:val="auto"/>
          <w:sz w:val="32"/>
          <w:szCs w:val="32"/>
          <w:highlight w:val="none"/>
        </w:rPr>
        <w:t>万元，其中：基本支出</w:t>
      </w:r>
      <w:r>
        <w:rPr>
          <w:rFonts w:hint="default" w:ascii="仿宋_GB2312" w:hAnsi="ˎ̥" w:eastAsia="仿宋_GB2312"/>
          <w:color w:val="auto"/>
          <w:sz w:val="32"/>
          <w:szCs w:val="32"/>
          <w:highlight w:val="none"/>
          <w:lang w:val="en-US"/>
        </w:rPr>
        <w:t>697.35</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88.39</w:t>
      </w:r>
      <w:r>
        <w:rPr>
          <w:rFonts w:hint="eastAsia" w:ascii="仿宋_GB2312" w:hAnsi="ˎ̥" w:eastAsia="仿宋_GB2312"/>
          <w:color w:val="auto"/>
          <w:sz w:val="32"/>
          <w:szCs w:val="32"/>
          <w:highlight w:val="none"/>
        </w:rPr>
        <w:t>%；项目支出</w:t>
      </w:r>
      <w:r>
        <w:rPr>
          <w:rFonts w:hint="default" w:ascii="仿宋_GB2312" w:hAnsi="ˎ̥" w:eastAsia="仿宋_GB2312"/>
          <w:color w:val="auto"/>
          <w:sz w:val="32"/>
          <w:szCs w:val="32"/>
          <w:highlight w:val="none"/>
          <w:lang w:val="en-US"/>
        </w:rPr>
        <w:t>91.61</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12</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四、财政拨款收入支出决算总体情况说明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年度财政拨款收入</w:t>
      </w:r>
      <w:r>
        <w:rPr>
          <w:rFonts w:hint="default" w:ascii="仿宋_GB2312" w:hAnsi="ˎ̥" w:eastAsia="仿宋_GB2312"/>
          <w:color w:val="auto"/>
          <w:sz w:val="32"/>
          <w:szCs w:val="32"/>
          <w:highlight w:val="none"/>
          <w:lang w:val="en-US"/>
        </w:rPr>
        <w:t>788.97</w:t>
      </w:r>
      <w:r>
        <w:rPr>
          <w:rFonts w:hint="eastAsia" w:ascii="仿宋_GB2312" w:hAnsi="ˎ̥" w:eastAsia="仿宋_GB2312"/>
          <w:color w:val="auto"/>
          <w:sz w:val="32"/>
          <w:szCs w:val="32"/>
          <w:highlight w:val="none"/>
        </w:rPr>
        <w:t>万元，支出</w:t>
      </w:r>
      <w:r>
        <w:rPr>
          <w:rFonts w:hint="default" w:ascii="仿宋_GB2312" w:hAnsi="ˎ̥" w:eastAsia="仿宋_GB2312"/>
          <w:color w:val="auto"/>
          <w:sz w:val="32"/>
          <w:szCs w:val="32"/>
          <w:highlight w:val="none"/>
          <w:lang w:val="en-US"/>
        </w:rPr>
        <w:t>788.97</w:t>
      </w:r>
      <w:r>
        <w:rPr>
          <w:rFonts w:hint="eastAsia" w:ascii="仿宋_GB2312" w:hAnsi="ˎ̥" w:eastAsia="仿宋_GB2312"/>
          <w:color w:val="auto"/>
          <w:sz w:val="32"/>
          <w:szCs w:val="32"/>
          <w:highlight w:val="none"/>
        </w:rPr>
        <w:t>万元。与</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年度相比，财政拨款收入增加</w:t>
      </w:r>
      <w:r>
        <w:rPr>
          <w:rFonts w:hint="eastAsia" w:ascii="仿宋_GB2312" w:hAnsi="ˎ̥" w:eastAsia="仿宋_GB2312"/>
          <w:color w:val="auto"/>
          <w:sz w:val="32"/>
          <w:szCs w:val="32"/>
          <w:highlight w:val="none"/>
          <w:lang w:val="en-US" w:eastAsia="zh-CN"/>
        </w:rPr>
        <w:t>122.78</w:t>
      </w:r>
      <w:r>
        <w:rPr>
          <w:rFonts w:hint="eastAsia" w:ascii="仿宋_GB2312" w:hAnsi="ˎ̥" w:eastAsia="仿宋_GB2312"/>
          <w:color w:val="auto"/>
          <w:sz w:val="32"/>
          <w:szCs w:val="32"/>
          <w:highlight w:val="none"/>
        </w:rPr>
        <w:t>万元，增长</w:t>
      </w:r>
      <w:r>
        <w:rPr>
          <w:rFonts w:hint="eastAsia" w:ascii="仿宋_GB2312" w:hAnsi="ˎ̥" w:eastAsia="仿宋_GB2312"/>
          <w:color w:val="auto"/>
          <w:sz w:val="32"/>
          <w:szCs w:val="32"/>
          <w:highlight w:val="none"/>
          <w:lang w:val="en-US" w:eastAsia="zh-CN"/>
        </w:rPr>
        <w:t>18.43%</w:t>
      </w:r>
      <w:r>
        <w:rPr>
          <w:rFonts w:hint="eastAsia" w:ascii="仿宋_GB2312" w:hAnsi="ˎ̥" w:eastAsia="仿宋_GB2312"/>
          <w:color w:val="auto"/>
          <w:sz w:val="32"/>
          <w:szCs w:val="32"/>
          <w:highlight w:val="none"/>
        </w:rPr>
        <w:t>，主要原因是</w:t>
      </w:r>
      <w:r>
        <w:rPr>
          <w:rFonts w:hint="eastAsia" w:ascii="仿宋_GB2312" w:hAnsi="ˎ̥" w:eastAsia="仿宋_GB2312"/>
          <w:color w:val="auto"/>
          <w:sz w:val="32"/>
          <w:szCs w:val="32"/>
          <w:highlight w:val="none"/>
          <w:lang w:eastAsia="zh-CN"/>
        </w:rPr>
        <w:t>人员变动的影响</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五、一般公共预算财政拨款支出决算情况说明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color w:val="auto"/>
          <w:sz w:val="32"/>
          <w:szCs w:val="32"/>
          <w:highlight w:val="none"/>
        </w:rPr>
      </w:pPr>
      <w:bookmarkStart w:id="77" w:name="_Toc21737_WPSOffice_Level2"/>
      <w:bookmarkStart w:id="78" w:name="_Toc23005_WPSOffice_Level2"/>
      <w:bookmarkStart w:id="79" w:name="_Toc13694_WPSOffice_Level2"/>
      <w:bookmarkStart w:id="80" w:name="_Toc17398_WPSOffice_Level2"/>
      <w:bookmarkStart w:id="81" w:name="_Toc19665_WPSOffice_Level2"/>
      <w:bookmarkStart w:id="82" w:name="_Toc9989_WPSOffice_Level2"/>
      <w:r>
        <w:rPr>
          <w:rFonts w:hint="eastAsia" w:ascii="楷体" w:hAnsi="楷体" w:eastAsia="楷体" w:cs="楷体"/>
          <w:color w:val="auto"/>
          <w:sz w:val="32"/>
          <w:szCs w:val="32"/>
          <w:highlight w:val="none"/>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年度一般公共预算财政拨款支出</w:t>
      </w:r>
      <w:r>
        <w:rPr>
          <w:rFonts w:hint="default" w:ascii="仿宋_GB2312" w:hAnsi="ˎ̥" w:eastAsia="仿宋_GB2312"/>
          <w:color w:val="auto"/>
          <w:sz w:val="32"/>
          <w:szCs w:val="32"/>
          <w:highlight w:val="none"/>
          <w:lang w:val="en-US"/>
        </w:rPr>
        <w:t>788.97</w:t>
      </w:r>
      <w:r>
        <w:rPr>
          <w:rFonts w:hint="eastAsia" w:ascii="仿宋_GB2312" w:hAnsi="ˎ̥" w:eastAsia="仿宋_GB2312"/>
          <w:color w:val="auto"/>
          <w:sz w:val="32"/>
          <w:szCs w:val="32"/>
          <w:highlight w:val="none"/>
        </w:rPr>
        <w:t>万元，占本年支出合计的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%。与</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年度相比，财政拨款收入增加</w:t>
      </w:r>
      <w:r>
        <w:rPr>
          <w:rFonts w:hint="eastAsia" w:ascii="仿宋_GB2312" w:hAnsi="ˎ̥" w:eastAsia="仿宋_GB2312"/>
          <w:color w:val="auto"/>
          <w:sz w:val="32"/>
          <w:szCs w:val="32"/>
          <w:highlight w:val="none"/>
          <w:lang w:val="en-US" w:eastAsia="zh-CN"/>
        </w:rPr>
        <w:t>122.78</w:t>
      </w:r>
      <w:r>
        <w:rPr>
          <w:rFonts w:hint="eastAsia" w:ascii="仿宋_GB2312" w:hAnsi="ˎ̥" w:eastAsia="仿宋_GB2312"/>
          <w:color w:val="auto"/>
          <w:sz w:val="32"/>
          <w:szCs w:val="32"/>
          <w:highlight w:val="none"/>
        </w:rPr>
        <w:t>万元，增长</w:t>
      </w:r>
      <w:r>
        <w:rPr>
          <w:rFonts w:hint="eastAsia" w:ascii="仿宋_GB2312" w:hAnsi="ˎ̥" w:eastAsia="仿宋_GB2312"/>
          <w:color w:val="auto"/>
          <w:sz w:val="32"/>
          <w:szCs w:val="32"/>
          <w:highlight w:val="none"/>
          <w:lang w:val="en-US" w:eastAsia="zh-CN"/>
        </w:rPr>
        <w:t>18.43%</w:t>
      </w:r>
      <w:r>
        <w:rPr>
          <w:rFonts w:hint="eastAsia" w:ascii="仿宋_GB2312" w:hAnsi="ˎ̥" w:eastAsia="仿宋_GB2312"/>
          <w:color w:val="auto"/>
          <w:sz w:val="32"/>
          <w:szCs w:val="32"/>
          <w:highlight w:val="none"/>
        </w:rPr>
        <w:t>，主要原因是</w:t>
      </w:r>
      <w:r>
        <w:rPr>
          <w:rFonts w:hint="eastAsia" w:ascii="仿宋_GB2312" w:hAnsi="ˎ̥" w:eastAsia="仿宋_GB2312"/>
          <w:color w:val="auto"/>
          <w:sz w:val="32"/>
          <w:szCs w:val="32"/>
          <w:highlight w:val="none"/>
          <w:lang w:eastAsia="zh-CN"/>
        </w:rPr>
        <w:t>人员变动的影响</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color w:val="auto"/>
          <w:sz w:val="32"/>
          <w:szCs w:val="32"/>
          <w:highlight w:val="none"/>
        </w:rPr>
      </w:pPr>
      <w:bookmarkStart w:id="83" w:name="_Toc18793_WPSOffice_Level2"/>
      <w:bookmarkStart w:id="84" w:name="_Toc19535_WPSOffice_Level2"/>
      <w:bookmarkStart w:id="85" w:name="_Toc2711_WPSOffice_Level2"/>
      <w:bookmarkStart w:id="86" w:name="_Toc19075_WPSOffice_Level2"/>
      <w:bookmarkStart w:id="87" w:name="_Toc23864_WPSOffice_Level2"/>
      <w:bookmarkStart w:id="88" w:name="_Toc27767_WPSOffice_Level2"/>
      <w:r>
        <w:rPr>
          <w:rFonts w:hint="eastAsia" w:ascii="楷体" w:hAnsi="楷体" w:eastAsia="楷体" w:cs="楷体"/>
          <w:color w:val="auto"/>
          <w:sz w:val="32"/>
          <w:szCs w:val="32"/>
          <w:highlight w:val="none"/>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年度一般公共预算财政拨款支出</w:t>
      </w:r>
      <w:r>
        <w:rPr>
          <w:rFonts w:hint="default" w:ascii="仿宋_GB2312" w:hAnsi="ˎ̥" w:eastAsia="仿宋_GB2312"/>
          <w:color w:val="auto"/>
          <w:sz w:val="32"/>
          <w:szCs w:val="32"/>
          <w:highlight w:val="none"/>
          <w:lang w:val="en-US"/>
        </w:rPr>
        <w:t>788.97</w:t>
      </w:r>
      <w:r>
        <w:rPr>
          <w:rFonts w:hint="eastAsia" w:ascii="仿宋_GB2312" w:hAnsi="ˎ̥" w:eastAsia="仿宋_GB2312"/>
          <w:color w:val="auto"/>
          <w:sz w:val="32"/>
          <w:szCs w:val="32"/>
          <w:highlight w:val="none"/>
        </w:rPr>
        <w:t>万元，主要用于以下方面：</w:t>
      </w:r>
      <w:r>
        <w:rPr>
          <w:rFonts w:hint="eastAsia" w:ascii="仿宋_GB2312" w:hAnsi="ˎ̥" w:eastAsia="仿宋_GB2312"/>
          <w:b/>
          <w:color w:val="auto"/>
          <w:sz w:val="32"/>
          <w:szCs w:val="32"/>
          <w:highlight w:val="none"/>
        </w:rPr>
        <w:t>一般公共服务（类）</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598.13</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75.81</w:t>
      </w:r>
      <w:r>
        <w:rPr>
          <w:rFonts w:hint="eastAsia" w:ascii="仿宋_GB2312" w:hAnsi="ˎ̥" w:eastAsia="仿宋_GB2312"/>
          <w:color w:val="auto"/>
          <w:sz w:val="32"/>
          <w:szCs w:val="32"/>
          <w:highlight w:val="none"/>
        </w:rPr>
        <w:t>%；</w:t>
      </w:r>
      <w:r>
        <w:rPr>
          <w:rFonts w:hint="eastAsia" w:ascii="仿宋_GB2312" w:hAnsi="ˎ̥" w:eastAsia="仿宋_GB2312"/>
          <w:b/>
          <w:color w:val="auto"/>
          <w:sz w:val="32"/>
          <w:szCs w:val="32"/>
          <w:highlight w:val="none"/>
        </w:rPr>
        <w:t>社会保障和就业（类）</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68.44</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8.67</w:t>
      </w:r>
      <w:r>
        <w:rPr>
          <w:rFonts w:hint="eastAsia" w:ascii="仿宋_GB2312" w:hAnsi="ˎ̥" w:eastAsia="仿宋_GB2312"/>
          <w:color w:val="auto"/>
          <w:sz w:val="32"/>
          <w:szCs w:val="32"/>
          <w:highlight w:val="none"/>
        </w:rPr>
        <w:t>%；</w:t>
      </w:r>
      <w:r>
        <w:rPr>
          <w:rFonts w:hint="eastAsia" w:ascii="仿宋_GB2312" w:hAnsi="ˎ̥" w:eastAsia="仿宋_GB2312"/>
          <w:b/>
          <w:bCs/>
          <w:color w:val="auto"/>
          <w:sz w:val="32"/>
          <w:szCs w:val="32"/>
          <w:highlight w:val="none"/>
          <w:lang w:eastAsia="zh-CN"/>
        </w:rPr>
        <w:t>卫生健康</w:t>
      </w:r>
      <w:r>
        <w:rPr>
          <w:rFonts w:hint="eastAsia" w:ascii="仿宋_GB2312" w:hAnsi="ˎ̥" w:eastAsia="仿宋_GB2312"/>
          <w:b/>
          <w:bCs/>
          <w:color w:val="auto"/>
          <w:sz w:val="32"/>
          <w:szCs w:val="32"/>
          <w:highlight w:val="none"/>
        </w:rPr>
        <w:t>（类）</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41.60</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5.27</w:t>
      </w:r>
      <w:r>
        <w:rPr>
          <w:rFonts w:hint="eastAsia" w:ascii="仿宋_GB2312" w:hAnsi="ˎ̥" w:eastAsia="仿宋_GB2312"/>
          <w:color w:val="auto"/>
          <w:sz w:val="32"/>
          <w:szCs w:val="32"/>
          <w:highlight w:val="none"/>
        </w:rPr>
        <w:t>%；</w:t>
      </w:r>
      <w:r>
        <w:rPr>
          <w:rFonts w:hint="eastAsia" w:ascii="仿宋_GB2312" w:hAnsi="ˎ̥" w:eastAsia="仿宋_GB2312"/>
          <w:b/>
          <w:bCs/>
          <w:color w:val="auto"/>
          <w:sz w:val="32"/>
          <w:szCs w:val="32"/>
          <w:highlight w:val="none"/>
        </w:rPr>
        <w:t>住房保障（类）</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80.79</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10.24</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color w:val="auto"/>
          <w:sz w:val="32"/>
          <w:szCs w:val="32"/>
          <w:highlight w:val="none"/>
        </w:rPr>
      </w:pPr>
      <w:bookmarkStart w:id="89" w:name="_Toc21701_WPSOffice_Level2"/>
      <w:bookmarkStart w:id="90" w:name="_Toc15415_WPSOffice_Level2"/>
      <w:bookmarkStart w:id="91" w:name="_Toc29364_WPSOffice_Level2"/>
      <w:bookmarkStart w:id="92" w:name="_Toc25136_WPSOffice_Level2"/>
      <w:bookmarkStart w:id="93" w:name="_Toc9502_WPSOffice_Level2"/>
      <w:bookmarkStart w:id="94" w:name="_Toc22318_WPSOffice_Level2"/>
      <w:r>
        <w:rPr>
          <w:rFonts w:hint="eastAsia" w:ascii="楷体" w:hAnsi="楷体" w:eastAsia="楷体" w:cs="楷体"/>
          <w:color w:val="auto"/>
          <w:sz w:val="32"/>
          <w:szCs w:val="32"/>
          <w:highlight w:val="none"/>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年度一般公共预算财政拨款支出年初预算为</w:t>
      </w:r>
      <w:r>
        <w:rPr>
          <w:rFonts w:hint="eastAsia" w:ascii="仿宋_GB2312" w:hAnsi="ˎ̥" w:eastAsia="仿宋_GB2312"/>
          <w:color w:val="auto"/>
          <w:sz w:val="32"/>
          <w:szCs w:val="32"/>
          <w:highlight w:val="none"/>
          <w:lang w:val="en-US" w:eastAsia="zh-CN"/>
        </w:rPr>
        <w:t>788.97</w:t>
      </w:r>
      <w:r>
        <w:rPr>
          <w:rFonts w:hint="eastAsia" w:ascii="仿宋_GB2312" w:hAnsi="ˎ̥" w:eastAsia="仿宋_GB2312"/>
          <w:color w:val="auto"/>
          <w:sz w:val="32"/>
          <w:szCs w:val="32"/>
          <w:highlight w:val="none"/>
        </w:rPr>
        <w:t>万元，支出决算为</w:t>
      </w:r>
      <w:r>
        <w:rPr>
          <w:rFonts w:hint="default" w:ascii="仿宋_GB2312" w:hAnsi="ˎ̥" w:eastAsia="仿宋_GB2312"/>
          <w:color w:val="auto"/>
          <w:sz w:val="32"/>
          <w:szCs w:val="32"/>
          <w:highlight w:val="none"/>
          <w:lang w:val="en-US"/>
        </w:rPr>
        <w:t>788.97</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%。其中：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sz w:val="32"/>
          <w:szCs w:val="32"/>
          <w:lang w:val="en-US" w:eastAsia="zh-CN"/>
        </w:rPr>
        <w:t>1.</w:t>
      </w:r>
      <w:r>
        <w:rPr>
          <w:rFonts w:hint="eastAsia" w:ascii="仿宋_GB2312" w:hAnsi="ˎ̥" w:eastAsia="仿宋_GB2312"/>
          <w:sz w:val="32"/>
          <w:szCs w:val="32"/>
        </w:rPr>
        <w:t>一</w:t>
      </w:r>
      <w:r>
        <w:rPr>
          <w:rFonts w:hint="eastAsia" w:ascii="仿宋_GB2312" w:hAnsi="ˎ̥" w:eastAsia="仿宋_GB2312"/>
          <w:b/>
          <w:color w:val="auto"/>
          <w:sz w:val="32"/>
          <w:szCs w:val="32"/>
          <w:highlight w:val="none"/>
        </w:rPr>
        <w:t>般公共服务</w:t>
      </w:r>
      <w:r>
        <w:rPr>
          <w:rFonts w:hint="eastAsia" w:ascii="仿宋_GB2312" w:hAnsi="ˎ̥" w:eastAsia="仿宋_GB2312"/>
          <w:b/>
          <w:color w:val="auto"/>
          <w:sz w:val="32"/>
          <w:szCs w:val="32"/>
          <w:highlight w:val="none"/>
          <w:lang w:eastAsia="zh-CN"/>
        </w:rPr>
        <w:t>支出</w:t>
      </w:r>
      <w:r>
        <w:rPr>
          <w:rFonts w:hint="eastAsia" w:ascii="仿宋_GB2312" w:hAnsi="ˎ̥" w:eastAsia="仿宋_GB2312"/>
          <w:b/>
          <w:color w:val="auto"/>
          <w:sz w:val="32"/>
          <w:szCs w:val="32"/>
          <w:highlight w:val="none"/>
        </w:rPr>
        <w:t>（类）人大事务（款）行政运行（项）。</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515.86</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515.86</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sz w:val="32"/>
          <w:szCs w:val="32"/>
          <w:lang w:val="en-US" w:eastAsia="zh-CN"/>
        </w:rPr>
        <w:t>2</w:t>
      </w:r>
      <w:r>
        <w:rPr>
          <w:rFonts w:hint="eastAsia" w:ascii="仿宋_GB2312" w:hAnsi="ˎ̥" w:eastAsia="仿宋_GB2312"/>
          <w:sz w:val="32"/>
          <w:szCs w:val="32"/>
        </w:rPr>
        <w:t>.</w:t>
      </w:r>
      <w:r>
        <w:rPr>
          <w:rFonts w:hint="eastAsia" w:ascii="仿宋_GB2312" w:hAnsi="ˎ̥" w:eastAsia="仿宋_GB2312"/>
          <w:b/>
          <w:color w:val="auto"/>
          <w:sz w:val="32"/>
          <w:szCs w:val="32"/>
          <w:highlight w:val="none"/>
        </w:rPr>
        <w:t>一般公共服务</w:t>
      </w:r>
      <w:r>
        <w:rPr>
          <w:rFonts w:hint="eastAsia" w:ascii="仿宋_GB2312" w:hAnsi="ˎ̥" w:eastAsia="仿宋_GB2312"/>
          <w:b/>
          <w:color w:val="auto"/>
          <w:sz w:val="32"/>
          <w:szCs w:val="32"/>
          <w:highlight w:val="none"/>
          <w:lang w:eastAsia="zh-CN"/>
        </w:rPr>
        <w:t>支出</w:t>
      </w:r>
      <w:r>
        <w:rPr>
          <w:rFonts w:hint="eastAsia" w:ascii="仿宋_GB2312" w:hAnsi="ˎ̥" w:eastAsia="仿宋_GB2312"/>
          <w:b/>
          <w:color w:val="auto"/>
          <w:sz w:val="32"/>
          <w:szCs w:val="32"/>
          <w:highlight w:val="none"/>
        </w:rPr>
        <w:t>（类）人大事务（款）</w:t>
      </w:r>
      <w:r>
        <w:rPr>
          <w:rFonts w:hint="eastAsia" w:ascii="仿宋_GB2312" w:hAnsi="ˎ̥" w:eastAsia="仿宋_GB2312"/>
          <w:b/>
          <w:color w:val="auto"/>
          <w:sz w:val="32"/>
          <w:szCs w:val="32"/>
          <w:highlight w:val="none"/>
          <w:lang w:eastAsia="zh-CN"/>
        </w:rPr>
        <w:t>人大会议</w:t>
      </w:r>
      <w:r>
        <w:rPr>
          <w:rFonts w:hint="eastAsia" w:ascii="仿宋_GB2312" w:hAnsi="ˎ̥" w:eastAsia="仿宋_GB2312"/>
          <w:b/>
          <w:color w:val="auto"/>
          <w:sz w:val="32"/>
          <w:szCs w:val="32"/>
          <w:highlight w:val="none"/>
        </w:rPr>
        <w:t>（项）。</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16.43</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16.43</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sz w:val="32"/>
          <w:szCs w:val="32"/>
          <w:lang w:val="en-US" w:eastAsia="zh-CN"/>
        </w:rPr>
        <w:t>3</w:t>
      </w:r>
      <w:r>
        <w:rPr>
          <w:rFonts w:hint="eastAsia" w:ascii="仿宋_GB2312" w:hAnsi="ˎ̥" w:eastAsia="仿宋_GB2312"/>
          <w:sz w:val="32"/>
          <w:szCs w:val="32"/>
        </w:rPr>
        <w:t>.</w:t>
      </w:r>
      <w:r>
        <w:rPr>
          <w:rFonts w:hint="eastAsia" w:ascii="仿宋_GB2312" w:hAnsi="ˎ̥" w:eastAsia="仿宋_GB2312"/>
          <w:b/>
          <w:color w:val="auto"/>
          <w:sz w:val="32"/>
          <w:szCs w:val="32"/>
          <w:highlight w:val="none"/>
        </w:rPr>
        <w:t>一般公共服务</w:t>
      </w:r>
      <w:r>
        <w:rPr>
          <w:rFonts w:hint="eastAsia" w:ascii="仿宋_GB2312" w:hAnsi="ˎ̥" w:eastAsia="仿宋_GB2312"/>
          <w:b/>
          <w:color w:val="auto"/>
          <w:sz w:val="32"/>
          <w:szCs w:val="32"/>
          <w:highlight w:val="none"/>
          <w:lang w:eastAsia="zh-CN"/>
        </w:rPr>
        <w:t>支出</w:t>
      </w:r>
      <w:r>
        <w:rPr>
          <w:rFonts w:hint="eastAsia" w:ascii="仿宋_GB2312" w:hAnsi="ˎ̥" w:eastAsia="仿宋_GB2312"/>
          <w:b/>
          <w:color w:val="auto"/>
          <w:sz w:val="32"/>
          <w:szCs w:val="32"/>
          <w:highlight w:val="none"/>
        </w:rPr>
        <w:t>（类）人大事务（款）</w:t>
      </w:r>
      <w:r>
        <w:rPr>
          <w:rFonts w:hint="eastAsia" w:ascii="仿宋_GB2312" w:hAnsi="ˎ̥" w:eastAsia="仿宋_GB2312"/>
          <w:b/>
          <w:color w:val="auto"/>
          <w:sz w:val="32"/>
          <w:szCs w:val="32"/>
          <w:highlight w:val="none"/>
          <w:lang w:eastAsia="zh-CN"/>
        </w:rPr>
        <w:t>人大监督</w:t>
      </w:r>
      <w:r>
        <w:rPr>
          <w:rFonts w:hint="eastAsia" w:ascii="仿宋_GB2312" w:hAnsi="ˎ̥" w:eastAsia="仿宋_GB2312"/>
          <w:b/>
          <w:color w:val="auto"/>
          <w:sz w:val="32"/>
          <w:szCs w:val="32"/>
          <w:highlight w:val="none"/>
        </w:rPr>
        <w:t>（项）。</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15</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15</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sz w:val="32"/>
          <w:szCs w:val="32"/>
          <w:lang w:val="en-US" w:eastAsia="zh-CN"/>
        </w:rPr>
        <w:t>4</w:t>
      </w:r>
      <w:r>
        <w:rPr>
          <w:rFonts w:hint="eastAsia" w:ascii="仿宋_GB2312" w:hAnsi="ˎ̥" w:eastAsia="仿宋_GB2312"/>
          <w:sz w:val="32"/>
          <w:szCs w:val="32"/>
        </w:rPr>
        <w:t>.</w:t>
      </w:r>
      <w:r>
        <w:rPr>
          <w:rFonts w:hint="eastAsia" w:ascii="仿宋_GB2312" w:hAnsi="ˎ̥" w:eastAsia="仿宋_GB2312"/>
          <w:b/>
          <w:color w:val="auto"/>
          <w:sz w:val="32"/>
          <w:szCs w:val="32"/>
          <w:highlight w:val="none"/>
        </w:rPr>
        <w:t>一般公共服务</w:t>
      </w:r>
      <w:r>
        <w:rPr>
          <w:rFonts w:hint="eastAsia" w:ascii="仿宋_GB2312" w:hAnsi="ˎ̥" w:eastAsia="仿宋_GB2312"/>
          <w:b/>
          <w:color w:val="auto"/>
          <w:sz w:val="32"/>
          <w:szCs w:val="32"/>
          <w:highlight w:val="none"/>
          <w:lang w:eastAsia="zh-CN"/>
        </w:rPr>
        <w:t>支出</w:t>
      </w:r>
      <w:r>
        <w:rPr>
          <w:rFonts w:hint="eastAsia" w:ascii="仿宋_GB2312" w:hAnsi="ˎ̥" w:eastAsia="仿宋_GB2312"/>
          <w:b/>
          <w:color w:val="auto"/>
          <w:sz w:val="32"/>
          <w:szCs w:val="32"/>
          <w:highlight w:val="none"/>
        </w:rPr>
        <w:t>（类）人大事务（款）</w:t>
      </w:r>
      <w:r>
        <w:rPr>
          <w:rFonts w:hint="eastAsia" w:ascii="仿宋_GB2312" w:hAnsi="ˎ̥" w:eastAsia="仿宋_GB2312"/>
          <w:b/>
          <w:color w:val="auto"/>
          <w:sz w:val="32"/>
          <w:szCs w:val="32"/>
          <w:highlight w:val="none"/>
          <w:lang w:eastAsia="zh-CN"/>
        </w:rPr>
        <w:t>人大代表履职能力提升</w:t>
      </w:r>
      <w:r>
        <w:rPr>
          <w:rFonts w:hint="eastAsia" w:ascii="仿宋_GB2312" w:hAnsi="ˎ̥" w:eastAsia="仿宋_GB2312"/>
          <w:b/>
          <w:color w:val="auto"/>
          <w:sz w:val="32"/>
          <w:szCs w:val="32"/>
          <w:highlight w:val="none"/>
        </w:rPr>
        <w:t>（项）。</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32.69</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32.69</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sz w:val="32"/>
          <w:szCs w:val="32"/>
          <w:lang w:val="en-US" w:eastAsia="zh-CN"/>
        </w:rPr>
        <w:t>5</w:t>
      </w:r>
      <w:r>
        <w:rPr>
          <w:rFonts w:hint="eastAsia" w:ascii="仿宋_GB2312" w:hAnsi="ˎ̥" w:eastAsia="仿宋_GB2312"/>
          <w:sz w:val="32"/>
          <w:szCs w:val="32"/>
        </w:rPr>
        <w:t>.</w:t>
      </w:r>
      <w:r>
        <w:rPr>
          <w:rFonts w:hint="eastAsia" w:ascii="仿宋_GB2312" w:hAnsi="ˎ̥" w:eastAsia="仿宋_GB2312"/>
          <w:b/>
          <w:color w:val="auto"/>
          <w:sz w:val="32"/>
          <w:szCs w:val="32"/>
          <w:highlight w:val="none"/>
        </w:rPr>
        <w:t>一般公共服务</w:t>
      </w:r>
      <w:r>
        <w:rPr>
          <w:rFonts w:hint="eastAsia" w:ascii="仿宋_GB2312" w:hAnsi="ˎ̥" w:eastAsia="仿宋_GB2312"/>
          <w:b/>
          <w:color w:val="auto"/>
          <w:sz w:val="32"/>
          <w:szCs w:val="32"/>
          <w:highlight w:val="none"/>
          <w:lang w:eastAsia="zh-CN"/>
        </w:rPr>
        <w:t>支出</w:t>
      </w:r>
      <w:r>
        <w:rPr>
          <w:rFonts w:hint="eastAsia" w:ascii="仿宋_GB2312" w:hAnsi="ˎ̥" w:eastAsia="仿宋_GB2312"/>
          <w:b/>
          <w:color w:val="auto"/>
          <w:sz w:val="32"/>
          <w:szCs w:val="32"/>
          <w:highlight w:val="none"/>
        </w:rPr>
        <w:t>（类）人大事务（款）</w:t>
      </w:r>
      <w:r>
        <w:rPr>
          <w:rFonts w:hint="eastAsia" w:ascii="仿宋_GB2312" w:hAnsi="ˎ̥" w:eastAsia="仿宋_GB2312"/>
          <w:b/>
          <w:color w:val="auto"/>
          <w:sz w:val="32"/>
          <w:szCs w:val="32"/>
          <w:highlight w:val="none"/>
          <w:lang w:eastAsia="zh-CN"/>
        </w:rPr>
        <w:t>其他人大事务支出</w:t>
      </w:r>
      <w:r>
        <w:rPr>
          <w:rFonts w:hint="eastAsia" w:ascii="仿宋_GB2312" w:hAnsi="ˎ̥" w:eastAsia="仿宋_GB2312"/>
          <w:b/>
          <w:color w:val="auto"/>
          <w:sz w:val="32"/>
          <w:szCs w:val="32"/>
          <w:highlight w:val="none"/>
        </w:rPr>
        <w:t>（项）。</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18.14</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18.14</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lang w:val="en-US" w:eastAsia="zh-CN"/>
        </w:rPr>
        <w:t>6</w:t>
      </w:r>
      <w:r>
        <w:rPr>
          <w:rFonts w:hint="eastAsia" w:ascii="仿宋_GB2312" w:hAnsi="ˎ̥" w:eastAsia="仿宋_GB2312"/>
          <w:sz w:val="32"/>
          <w:szCs w:val="32"/>
        </w:rPr>
        <w:t>.</w:t>
      </w:r>
      <w:r>
        <w:rPr>
          <w:rFonts w:hint="eastAsia" w:ascii="仿宋_GB2312" w:hAnsi="ˎ̥" w:eastAsia="仿宋_GB2312"/>
          <w:b/>
          <w:sz w:val="32"/>
          <w:szCs w:val="32"/>
          <w:lang w:eastAsia="zh-CN"/>
        </w:rPr>
        <w:t>社会保险和就业支出</w:t>
      </w:r>
      <w:r>
        <w:rPr>
          <w:rFonts w:hint="eastAsia" w:ascii="仿宋_GB2312" w:hAnsi="ˎ̥" w:eastAsia="仿宋_GB2312"/>
          <w:b/>
          <w:sz w:val="32"/>
          <w:szCs w:val="32"/>
        </w:rPr>
        <w:t>（类）</w:t>
      </w:r>
      <w:r>
        <w:rPr>
          <w:rFonts w:hint="eastAsia" w:ascii="仿宋_GB2312" w:hAnsi="ˎ̥" w:eastAsia="仿宋_GB2312"/>
          <w:b/>
          <w:sz w:val="32"/>
          <w:szCs w:val="32"/>
          <w:lang w:eastAsia="zh-CN"/>
        </w:rPr>
        <w:t>行政事业单位养老支出</w:t>
      </w:r>
      <w:r>
        <w:rPr>
          <w:rFonts w:hint="eastAsia" w:ascii="仿宋_GB2312" w:hAnsi="ˎ̥" w:eastAsia="仿宋_GB2312"/>
          <w:b/>
          <w:sz w:val="32"/>
          <w:szCs w:val="32"/>
        </w:rPr>
        <w:t>（款）</w:t>
      </w:r>
      <w:r>
        <w:rPr>
          <w:rFonts w:hint="eastAsia" w:ascii="仿宋_GB2312" w:hAnsi="ˎ̥" w:eastAsia="仿宋_GB2312"/>
          <w:b/>
          <w:sz w:val="32"/>
          <w:szCs w:val="32"/>
          <w:lang w:eastAsia="zh-CN"/>
        </w:rPr>
        <w:t>机关事业单位基本养老保险经费支出（项）</w:t>
      </w:r>
      <w:r>
        <w:rPr>
          <w:rFonts w:hint="eastAsia" w:ascii="仿宋_GB2312" w:hAnsi="ˎ̥" w:eastAsia="仿宋_GB2312"/>
          <w:b/>
          <w:sz w:val="32"/>
          <w:szCs w:val="32"/>
        </w:rPr>
        <w:t>。</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68.44</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68.44</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lang w:val="en-US" w:eastAsia="zh-CN"/>
        </w:rPr>
        <w:t>7</w:t>
      </w:r>
      <w:r>
        <w:rPr>
          <w:rFonts w:hint="eastAsia" w:ascii="仿宋_GB2312" w:hAnsi="ˎ̥" w:eastAsia="仿宋_GB2312"/>
          <w:color w:val="auto"/>
          <w:sz w:val="32"/>
          <w:szCs w:val="32"/>
          <w:highlight w:val="none"/>
        </w:rPr>
        <w:t>.</w:t>
      </w:r>
      <w:r>
        <w:rPr>
          <w:rFonts w:hint="eastAsia" w:ascii="仿宋_GB2312" w:hAnsi="ˎ̥" w:eastAsia="仿宋_GB2312"/>
          <w:b/>
          <w:color w:val="auto"/>
          <w:sz w:val="32"/>
          <w:szCs w:val="32"/>
          <w:highlight w:val="none"/>
          <w:lang w:eastAsia="zh-CN"/>
        </w:rPr>
        <w:t>卫生健康支出</w:t>
      </w:r>
      <w:r>
        <w:rPr>
          <w:rFonts w:hint="eastAsia" w:ascii="仿宋_GB2312" w:hAnsi="ˎ̥" w:eastAsia="仿宋_GB2312"/>
          <w:b/>
          <w:color w:val="auto"/>
          <w:sz w:val="32"/>
          <w:szCs w:val="32"/>
          <w:highlight w:val="none"/>
        </w:rPr>
        <w:t>（类）</w:t>
      </w:r>
      <w:r>
        <w:rPr>
          <w:rFonts w:hint="eastAsia" w:ascii="仿宋_GB2312" w:hAnsi="ˎ̥" w:eastAsia="仿宋_GB2312"/>
          <w:b/>
          <w:color w:val="auto"/>
          <w:sz w:val="32"/>
          <w:szCs w:val="32"/>
          <w:highlight w:val="none"/>
          <w:lang w:eastAsia="zh-CN"/>
        </w:rPr>
        <w:t>行政事业单位医疗</w:t>
      </w:r>
      <w:r>
        <w:rPr>
          <w:rFonts w:hint="eastAsia" w:ascii="仿宋_GB2312" w:hAnsi="ˎ̥" w:eastAsia="仿宋_GB2312"/>
          <w:b/>
          <w:color w:val="auto"/>
          <w:sz w:val="32"/>
          <w:szCs w:val="32"/>
          <w:highlight w:val="none"/>
        </w:rPr>
        <w:t>（款）</w:t>
      </w:r>
      <w:r>
        <w:rPr>
          <w:rFonts w:hint="eastAsia" w:ascii="仿宋_GB2312" w:hAnsi="ˎ̥" w:eastAsia="仿宋_GB2312"/>
          <w:b/>
          <w:color w:val="auto"/>
          <w:sz w:val="32"/>
          <w:szCs w:val="32"/>
          <w:highlight w:val="none"/>
          <w:lang w:eastAsia="zh-CN"/>
        </w:rPr>
        <w:t>行政单位医疗（项）</w:t>
      </w:r>
      <w:r>
        <w:rPr>
          <w:rFonts w:hint="eastAsia" w:ascii="仿宋_GB2312" w:hAnsi="ˎ̥" w:eastAsia="仿宋_GB2312"/>
          <w:b/>
          <w:color w:val="auto"/>
          <w:sz w:val="32"/>
          <w:szCs w:val="32"/>
          <w:highlight w:val="none"/>
        </w:rPr>
        <w:t>。</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33.04</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33.04</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lang w:val="en-US" w:eastAsia="zh-CN"/>
        </w:rPr>
        <w:t>8</w:t>
      </w:r>
      <w:r>
        <w:rPr>
          <w:rFonts w:hint="eastAsia" w:ascii="仿宋_GB2312" w:hAnsi="ˎ̥" w:eastAsia="仿宋_GB2312"/>
          <w:color w:val="auto"/>
          <w:sz w:val="32"/>
          <w:szCs w:val="32"/>
          <w:highlight w:val="none"/>
        </w:rPr>
        <w:t>.</w:t>
      </w:r>
      <w:r>
        <w:rPr>
          <w:rFonts w:hint="eastAsia" w:ascii="仿宋_GB2312" w:hAnsi="ˎ̥" w:eastAsia="仿宋_GB2312"/>
          <w:b/>
          <w:color w:val="auto"/>
          <w:sz w:val="32"/>
          <w:szCs w:val="32"/>
          <w:highlight w:val="none"/>
          <w:lang w:eastAsia="zh-CN"/>
        </w:rPr>
        <w:t>卫生健康支出</w:t>
      </w:r>
      <w:r>
        <w:rPr>
          <w:rFonts w:hint="eastAsia" w:ascii="仿宋_GB2312" w:hAnsi="ˎ̥" w:eastAsia="仿宋_GB2312"/>
          <w:b/>
          <w:color w:val="auto"/>
          <w:sz w:val="32"/>
          <w:szCs w:val="32"/>
          <w:highlight w:val="none"/>
        </w:rPr>
        <w:t>（类）</w:t>
      </w:r>
      <w:r>
        <w:rPr>
          <w:rFonts w:hint="eastAsia" w:ascii="仿宋_GB2312" w:hAnsi="ˎ̥" w:eastAsia="仿宋_GB2312"/>
          <w:b/>
          <w:color w:val="auto"/>
          <w:sz w:val="32"/>
          <w:szCs w:val="32"/>
          <w:highlight w:val="none"/>
          <w:lang w:eastAsia="zh-CN"/>
        </w:rPr>
        <w:t>行政事业单位医疗</w:t>
      </w:r>
      <w:r>
        <w:rPr>
          <w:rFonts w:hint="eastAsia" w:ascii="仿宋_GB2312" w:hAnsi="ˎ̥" w:eastAsia="仿宋_GB2312"/>
          <w:b/>
          <w:color w:val="auto"/>
          <w:sz w:val="32"/>
          <w:szCs w:val="32"/>
          <w:highlight w:val="none"/>
        </w:rPr>
        <w:t>（款）</w:t>
      </w:r>
      <w:r>
        <w:rPr>
          <w:rFonts w:hint="eastAsia" w:ascii="仿宋_GB2312" w:hAnsi="ˎ̥" w:eastAsia="仿宋_GB2312"/>
          <w:b/>
          <w:color w:val="auto"/>
          <w:sz w:val="32"/>
          <w:szCs w:val="32"/>
          <w:highlight w:val="none"/>
          <w:lang w:eastAsia="zh-CN"/>
        </w:rPr>
        <w:t>公务员医疗补助（项）</w:t>
      </w:r>
      <w:r>
        <w:rPr>
          <w:rFonts w:hint="eastAsia" w:ascii="仿宋_GB2312" w:hAnsi="ˎ̥" w:eastAsia="仿宋_GB2312"/>
          <w:b/>
          <w:color w:val="auto"/>
          <w:sz w:val="32"/>
          <w:szCs w:val="32"/>
          <w:highlight w:val="none"/>
        </w:rPr>
        <w:t>。</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8.56</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8.56</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lang w:val="en-US" w:eastAsia="zh-CN"/>
        </w:rPr>
        <w:t>9</w:t>
      </w:r>
      <w:r>
        <w:rPr>
          <w:rFonts w:hint="eastAsia" w:ascii="仿宋_GB2312" w:hAnsi="ˎ̥" w:eastAsia="仿宋_GB2312"/>
          <w:color w:val="auto"/>
          <w:sz w:val="32"/>
          <w:szCs w:val="32"/>
          <w:highlight w:val="none"/>
        </w:rPr>
        <w:t>.</w:t>
      </w:r>
      <w:r>
        <w:rPr>
          <w:rFonts w:hint="eastAsia" w:ascii="仿宋_GB2312" w:hAnsi="ˎ̥" w:eastAsia="仿宋_GB2312"/>
          <w:b/>
          <w:color w:val="auto"/>
          <w:sz w:val="32"/>
          <w:szCs w:val="32"/>
          <w:highlight w:val="none"/>
          <w:lang w:eastAsia="zh-CN"/>
        </w:rPr>
        <w:t>住房保障支出</w:t>
      </w:r>
      <w:r>
        <w:rPr>
          <w:rFonts w:hint="eastAsia" w:ascii="仿宋_GB2312" w:hAnsi="ˎ̥" w:eastAsia="仿宋_GB2312"/>
          <w:b/>
          <w:color w:val="auto"/>
          <w:sz w:val="32"/>
          <w:szCs w:val="32"/>
          <w:highlight w:val="none"/>
        </w:rPr>
        <w:t>（类）</w:t>
      </w:r>
      <w:r>
        <w:rPr>
          <w:rFonts w:hint="eastAsia" w:ascii="仿宋_GB2312" w:hAnsi="ˎ̥" w:eastAsia="仿宋_GB2312"/>
          <w:b/>
          <w:color w:val="auto"/>
          <w:sz w:val="32"/>
          <w:szCs w:val="32"/>
          <w:highlight w:val="none"/>
          <w:lang w:eastAsia="zh-CN"/>
        </w:rPr>
        <w:t>住房改革支出</w:t>
      </w:r>
      <w:r>
        <w:rPr>
          <w:rFonts w:hint="eastAsia" w:ascii="仿宋_GB2312" w:hAnsi="ˎ̥" w:eastAsia="仿宋_GB2312"/>
          <w:b/>
          <w:color w:val="auto"/>
          <w:sz w:val="32"/>
          <w:szCs w:val="32"/>
          <w:highlight w:val="none"/>
        </w:rPr>
        <w:t>（款）</w:t>
      </w:r>
      <w:r>
        <w:rPr>
          <w:rFonts w:hint="eastAsia" w:ascii="仿宋_GB2312" w:hAnsi="ˎ̥" w:eastAsia="仿宋_GB2312"/>
          <w:b/>
          <w:color w:val="auto"/>
          <w:sz w:val="32"/>
          <w:szCs w:val="32"/>
          <w:highlight w:val="none"/>
          <w:lang w:eastAsia="zh-CN"/>
        </w:rPr>
        <w:t>住房公积金（项）。</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56</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56</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lang w:val="en-US" w:eastAsia="zh-CN"/>
        </w:rPr>
        <w:t>10</w:t>
      </w:r>
      <w:r>
        <w:rPr>
          <w:rFonts w:hint="eastAsia" w:ascii="仿宋_GB2312" w:hAnsi="ˎ̥" w:eastAsia="仿宋_GB2312"/>
          <w:color w:val="auto"/>
          <w:sz w:val="32"/>
          <w:szCs w:val="32"/>
          <w:highlight w:val="none"/>
        </w:rPr>
        <w:t>.</w:t>
      </w:r>
      <w:r>
        <w:rPr>
          <w:rFonts w:hint="eastAsia" w:ascii="仿宋_GB2312" w:hAnsi="ˎ̥" w:eastAsia="仿宋_GB2312"/>
          <w:b/>
          <w:color w:val="auto"/>
          <w:sz w:val="32"/>
          <w:szCs w:val="32"/>
          <w:highlight w:val="none"/>
          <w:lang w:eastAsia="zh-CN"/>
        </w:rPr>
        <w:t>住房保障支出</w:t>
      </w:r>
      <w:r>
        <w:rPr>
          <w:rFonts w:hint="eastAsia" w:ascii="仿宋_GB2312" w:hAnsi="ˎ̥" w:eastAsia="仿宋_GB2312"/>
          <w:b/>
          <w:color w:val="auto"/>
          <w:sz w:val="32"/>
          <w:szCs w:val="32"/>
          <w:highlight w:val="none"/>
        </w:rPr>
        <w:t>（类）</w:t>
      </w:r>
      <w:r>
        <w:rPr>
          <w:rFonts w:hint="eastAsia" w:ascii="仿宋_GB2312" w:hAnsi="ˎ̥" w:eastAsia="仿宋_GB2312"/>
          <w:b/>
          <w:color w:val="auto"/>
          <w:sz w:val="32"/>
          <w:szCs w:val="32"/>
          <w:highlight w:val="none"/>
          <w:lang w:eastAsia="zh-CN"/>
        </w:rPr>
        <w:t>住房改革支出</w:t>
      </w:r>
      <w:r>
        <w:rPr>
          <w:rFonts w:hint="eastAsia" w:ascii="仿宋_GB2312" w:hAnsi="ˎ̥" w:eastAsia="仿宋_GB2312"/>
          <w:b/>
          <w:color w:val="auto"/>
          <w:sz w:val="32"/>
          <w:szCs w:val="32"/>
          <w:highlight w:val="none"/>
        </w:rPr>
        <w:t>（款）</w:t>
      </w:r>
      <w:r>
        <w:rPr>
          <w:rFonts w:hint="eastAsia" w:ascii="仿宋_GB2312" w:hAnsi="ˎ̥" w:eastAsia="仿宋_GB2312"/>
          <w:b/>
          <w:color w:val="auto"/>
          <w:sz w:val="32"/>
          <w:szCs w:val="32"/>
          <w:highlight w:val="none"/>
          <w:lang w:eastAsia="zh-CN"/>
        </w:rPr>
        <w:t>购房补贴（项）</w:t>
      </w:r>
      <w:r>
        <w:rPr>
          <w:rFonts w:hint="eastAsia" w:ascii="仿宋_GB2312" w:hAnsi="ˎ̥" w:eastAsia="仿宋_GB2312"/>
          <w:b/>
          <w:color w:val="auto"/>
          <w:sz w:val="32"/>
          <w:szCs w:val="32"/>
          <w:highlight w:val="none"/>
        </w:rPr>
        <w:t>。</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24.79</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24.79</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color w:val="auto"/>
          <w:sz w:val="32"/>
          <w:szCs w:val="32"/>
          <w:highlight w:val="none"/>
        </w:rPr>
      </w:pPr>
      <w:r>
        <w:rPr>
          <w:rFonts w:hint="eastAsia" w:ascii="黑体" w:hAnsi="黑体" w:eastAsia="黑体" w:cs="黑体"/>
          <w:bCs/>
          <w:color w:val="auto"/>
          <w:sz w:val="32"/>
          <w:szCs w:val="32"/>
          <w:highlight w:val="none"/>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年度财政拨款基本支出</w:t>
      </w:r>
      <w:r>
        <w:rPr>
          <w:rFonts w:hint="eastAsia" w:ascii="仿宋_GB2312" w:hAnsi="ˎ̥" w:eastAsia="仿宋_GB2312"/>
          <w:color w:val="auto"/>
          <w:sz w:val="32"/>
          <w:szCs w:val="32"/>
          <w:highlight w:val="none"/>
          <w:lang w:val="en-US"/>
        </w:rPr>
        <w:t>697.35</w:t>
      </w:r>
      <w:r>
        <w:rPr>
          <w:rFonts w:hint="eastAsia" w:ascii="仿宋_GB2312" w:hAnsi="ˎ̥" w:eastAsia="仿宋_GB2312"/>
          <w:color w:val="auto"/>
          <w:sz w:val="32"/>
          <w:szCs w:val="32"/>
          <w:highlight w:val="none"/>
        </w:rPr>
        <w:t>万元，其中：人员经费</w:t>
      </w:r>
      <w:r>
        <w:rPr>
          <w:rFonts w:ascii="仿宋_GB2312" w:hAnsi="ˎ̥" w:eastAsia="仿宋_GB2312"/>
          <w:color w:val="auto"/>
          <w:sz w:val="32"/>
          <w:szCs w:val="32"/>
          <w:highlight w:val="none"/>
          <w:lang w:val="en-US"/>
        </w:rPr>
        <w:t>680.02</w:t>
      </w:r>
      <w:r>
        <w:rPr>
          <w:rFonts w:hint="eastAsia" w:ascii="仿宋_GB2312" w:hAnsi="ˎ̥" w:eastAsia="仿宋_GB2312"/>
          <w:color w:val="auto"/>
          <w:sz w:val="32"/>
          <w:szCs w:val="32"/>
          <w:highlight w:val="none"/>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highlight w:val="none"/>
          <w:lang w:val="en-US"/>
        </w:rPr>
        <w:t>17.34</w:t>
      </w:r>
      <w:r>
        <w:rPr>
          <w:rFonts w:hint="eastAsia" w:ascii="仿宋_GB2312" w:hAnsi="ˎ̥" w:eastAsia="仿宋_GB2312"/>
          <w:color w:val="auto"/>
          <w:sz w:val="32"/>
          <w:szCs w:val="32"/>
          <w:highlight w:val="none"/>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highlight w:val="none"/>
          <w:lang w:val="en-US" w:eastAsia="zh-CN"/>
        </w:rPr>
        <w:t>购</w:t>
      </w:r>
      <w:r>
        <w:rPr>
          <w:rFonts w:hint="eastAsia" w:ascii="仿宋_GB2312" w:hAnsi="ˎ̥" w:eastAsia="仿宋_GB2312"/>
          <w:color w:val="auto"/>
          <w:sz w:val="32"/>
          <w:szCs w:val="32"/>
          <w:highlight w:val="none"/>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七、政府性基金预算财政拨款支出决算情况说明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（一）政府性基金预算财政拨款支出决算总体情况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lang w:eastAsia="zh-CN"/>
        </w:rPr>
      </w:pPr>
      <w:r>
        <w:rPr>
          <w:rFonts w:hint="eastAsia" w:ascii="仿宋_GB2312" w:hAnsi="ˎ̥" w:eastAsia="仿宋_GB2312"/>
          <w:color w:val="auto"/>
          <w:sz w:val="32"/>
          <w:szCs w:val="32"/>
          <w:highlight w:val="none"/>
          <w:lang w:val="en-US" w:eastAsia="zh-CN"/>
        </w:rPr>
        <w:t>本单位</w:t>
      </w:r>
      <w:r>
        <w:rPr>
          <w:rFonts w:hint="eastAsia" w:ascii="仿宋_GB2312" w:hAnsi="ˎ̥" w:eastAsia="仿宋_GB2312"/>
          <w:color w:val="auto"/>
          <w:sz w:val="32"/>
          <w:szCs w:val="32"/>
          <w:highlight w:val="none"/>
          <w:lang w:eastAsia="zh-CN"/>
        </w:rPr>
        <w:t>无涉及</w:t>
      </w:r>
      <w:r>
        <w:rPr>
          <w:rFonts w:hint="eastAsia" w:ascii="仿宋_GB2312" w:hAnsi="ˎ̥" w:eastAsia="仿宋_GB2312"/>
          <w:color w:val="auto"/>
          <w:sz w:val="32"/>
          <w:szCs w:val="32"/>
          <w:highlight w:val="none"/>
        </w:rPr>
        <w:t>政府性基金预算</w:t>
      </w:r>
      <w:r>
        <w:rPr>
          <w:rFonts w:hint="eastAsia" w:ascii="仿宋_GB2312" w:hAnsi="ˎ̥"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（二）政府性基金预算财政拨款支出决算结构情况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lang w:val="en-US" w:eastAsia="zh-CN"/>
        </w:rPr>
      </w:pPr>
      <w:r>
        <w:rPr>
          <w:rFonts w:hint="eastAsia" w:ascii="仿宋_GB2312" w:hAnsi="ˎ̥" w:eastAsia="仿宋_GB2312"/>
          <w:color w:val="auto"/>
          <w:sz w:val="32"/>
          <w:szCs w:val="32"/>
          <w:highlight w:val="none"/>
          <w:lang w:val="en-US" w:eastAsia="zh-CN"/>
        </w:rPr>
        <w:t>本单位</w:t>
      </w:r>
      <w:r>
        <w:rPr>
          <w:rFonts w:hint="eastAsia" w:ascii="仿宋_GB2312" w:hAnsi="ˎ̥" w:eastAsia="仿宋_GB2312"/>
          <w:color w:val="auto"/>
          <w:sz w:val="32"/>
          <w:szCs w:val="32"/>
          <w:highlight w:val="none"/>
          <w:lang w:eastAsia="zh-CN"/>
        </w:rPr>
        <w:t>无涉及</w:t>
      </w:r>
      <w:r>
        <w:rPr>
          <w:rFonts w:hint="eastAsia" w:ascii="仿宋_GB2312" w:hAnsi="ˎ̥" w:eastAsia="仿宋_GB2312"/>
          <w:color w:val="auto"/>
          <w:sz w:val="32"/>
          <w:szCs w:val="32"/>
          <w:highlight w:val="none"/>
        </w:rPr>
        <w:t>政府性基金预算。</w:t>
      </w:r>
    </w:p>
    <w:p>
      <w:pPr>
        <w:keepNext w:val="0"/>
        <w:keepLines w:val="0"/>
        <w:pageBreakBefore w:val="0"/>
        <w:widowControl w:val="0"/>
        <w:tabs>
          <w:tab w:val="center" w:pos="4473"/>
        </w:tabs>
        <w:kinsoku/>
        <w:wordWrap/>
        <w:overflowPunct/>
        <w:topLinePunct w:val="0"/>
        <w:autoSpaceDE/>
        <w:autoSpaceDN/>
        <w:bidi w:val="0"/>
        <w:adjustRightInd w:val="0"/>
        <w:snapToGrid w:val="0"/>
        <w:spacing w:line="576" w:lineRule="exact"/>
        <w:ind w:firstLine="627" w:firstLineChars="196"/>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八、国有资本经营预算财政拨款支出决算情况说明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（一）国有资本经营预算财政拨款支出决算总体情况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lang w:val="en-US" w:eastAsia="zh-CN"/>
        </w:rPr>
        <w:t>本单位无涉及</w:t>
      </w:r>
      <w:r>
        <w:rPr>
          <w:rFonts w:hint="eastAsia" w:ascii="仿宋_GB2312" w:hAnsi="ˎ̥" w:eastAsia="仿宋_GB2312"/>
          <w:color w:val="auto"/>
          <w:sz w:val="32"/>
          <w:szCs w:val="32"/>
          <w:highlight w:val="none"/>
        </w:rPr>
        <w:t>国有资本经营预算。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（二）国有资本经营预算财政拨款支出决算结构情况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lang w:val="en-US" w:eastAsia="zh-CN"/>
        </w:rPr>
        <w:t>本单位无涉及国有资本经营预算。</w:t>
      </w: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rPr>
          <w:rFonts w:hint="eastAsia" w:ascii="仿宋_GB2312" w:hAnsi="ˎ̥" w:eastAsia="楷体_GB2312"/>
          <w:color w:val="auto"/>
          <w:sz w:val="32"/>
          <w:szCs w:val="32"/>
          <w:highlight w:val="none"/>
        </w:rPr>
      </w:pPr>
      <w:r>
        <w:rPr>
          <w:rFonts w:hint="eastAsia" w:ascii="黑体" w:hAnsi="黑体" w:eastAsia="黑体" w:cs="黑体"/>
          <w:bCs/>
          <w:color w:val="auto"/>
          <w:sz w:val="32"/>
          <w:szCs w:val="32"/>
          <w:highlight w:val="none"/>
        </w:rPr>
        <w:t>九、财政拨款“三公”经费支出决算情况说明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（一）财政拨款“三公”经费支出决算总体情况说明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年度财政拨款“三公”经费支出预算为</w:t>
      </w:r>
      <w:r>
        <w:rPr>
          <w:rFonts w:hint="default" w:ascii="仿宋_GB2312" w:hAnsi="ˎ̥" w:eastAsia="仿宋_GB2312"/>
          <w:color w:val="auto"/>
          <w:sz w:val="32"/>
          <w:szCs w:val="32"/>
          <w:highlight w:val="none"/>
          <w:lang w:val="en-US"/>
        </w:rPr>
        <w:t>0.85</w:t>
      </w:r>
      <w:r>
        <w:rPr>
          <w:rFonts w:hint="eastAsia" w:ascii="仿宋_GB2312" w:hAnsi="ˎ̥" w:eastAsia="仿宋_GB2312"/>
          <w:color w:val="auto"/>
          <w:sz w:val="32"/>
          <w:szCs w:val="32"/>
          <w:highlight w:val="none"/>
        </w:rPr>
        <w:t>万元，支出决算为</w:t>
      </w:r>
      <w:r>
        <w:rPr>
          <w:rFonts w:hint="default" w:ascii="仿宋_GB2312" w:hAnsi="ˎ̥" w:eastAsia="仿宋_GB2312"/>
          <w:color w:val="auto"/>
          <w:sz w:val="32"/>
          <w:szCs w:val="32"/>
          <w:highlight w:val="none"/>
          <w:lang w:val="en-US"/>
        </w:rPr>
        <w:t>0.85</w:t>
      </w:r>
      <w:r>
        <w:rPr>
          <w:rFonts w:hint="eastAsia" w:ascii="仿宋_GB2312" w:hAnsi="ˎ̥" w:eastAsia="仿宋_GB2312"/>
          <w:color w:val="auto"/>
          <w:sz w:val="32"/>
          <w:szCs w:val="32"/>
          <w:highlight w:val="none"/>
        </w:rPr>
        <w:t>万元，完成预算的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r>
        <w:rPr>
          <w:rFonts w:ascii="仿宋_GB2312" w:hAnsi="ˎ̥" w:eastAsia="仿宋_GB2312"/>
          <w:color w:val="auto"/>
          <w:sz w:val="32"/>
          <w:szCs w:val="32"/>
          <w:highlight w:val="none"/>
        </w:rPr>
        <w:t>与</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w:t>
      </w:r>
      <w:r>
        <w:rPr>
          <w:rFonts w:ascii="仿宋_GB2312" w:hAnsi="ˎ̥" w:eastAsia="仿宋_GB2312"/>
          <w:color w:val="auto"/>
          <w:sz w:val="32"/>
          <w:szCs w:val="32"/>
          <w:highlight w:val="none"/>
        </w:rPr>
        <w:t>相比，</w:t>
      </w:r>
      <w:r>
        <w:rPr>
          <w:rFonts w:hint="eastAsia" w:ascii="仿宋_GB2312" w:hAnsi="ˎ̥" w:eastAsia="仿宋_GB2312"/>
          <w:color w:val="auto"/>
          <w:sz w:val="32"/>
          <w:szCs w:val="32"/>
          <w:highlight w:val="none"/>
        </w:rPr>
        <w:t>“三公”经费支出增加</w:t>
      </w:r>
      <w:r>
        <w:rPr>
          <w:rFonts w:hint="eastAsia" w:ascii="仿宋_GB2312" w:hAnsi="ˎ̥" w:eastAsia="仿宋_GB2312"/>
          <w:color w:val="auto"/>
          <w:sz w:val="32"/>
          <w:szCs w:val="32"/>
          <w:highlight w:val="none"/>
          <w:lang w:val="en-US" w:eastAsia="zh-CN"/>
        </w:rPr>
        <w:t>0.49</w:t>
      </w:r>
      <w:r>
        <w:rPr>
          <w:rFonts w:hint="eastAsia" w:ascii="仿宋_GB2312" w:hAnsi="ˎ̥" w:eastAsia="仿宋_GB2312"/>
          <w:color w:val="auto"/>
          <w:sz w:val="32"/>
          <w:szCs w:val="32"/>
          <w:highlight w:val="none"/>
        </w:rPr>
        <w:t>万元</w:t>
      </w:r>
      <w:r>
        <w:rPr>
          <w:rFonts w:ascii="仿宋_GB2312" w:hAnsi="ˎ̥" w:eastAsia="仿宋_GB2312"/>
          <w:color w:val="auto"/>
          <w:sz w:val="32"/>
          <w:szCs w:val="32"/>
          <w:highlight w:val="none"/>
        </w:rPr>
        <w:t>，增长</w:t>
      </w:r>
      <w:r>
        <w:rPr>
          <w:rFonts w:hint="eastAsia" w:ascii="仿宋_GB2312" w:hAnsi="ˎ̥" w:eastAsia="仿宋_GB2312"/>
          <w:color w:val="auto"/>
          <w:sz w:val="32"/>
          <w:szCs w:val="32"/>
          <w:highlight w:val="none"/>
          <w:lang w:val="en-US" w:eastAsia="zh-CN"/>
        </w:rPr>
        <w:t>136.11</w:t>
      </w:r>
      <w:r>
        <w:rPr>
          <w:rFonts w:hint="eastAsia" w:ascii="仿宋_GB2312" w:hAnsi="ˎ̥" w:eastAsia="仿宋_GB2312"/>
          <w:color w:val="auto"/>
          <w:sz w:val="32"/>
          <w:szCs w:val="32"/>
          <w:highlight w:val="none"/>
        </w:rPr>
        <w:t>%，</w:t>
      </w:r>
      <w:r>
        <w:rPr>
          <w:rFonts w:ascii="仿宋_GB2312" w:hAnsi="ˎ̥" w:eastAsia="仿宋_GB2312"/>
          <w:color w:val="auto"/>
          <w:sz w:val="32"/>
          <w:szCs w:val="32"/>
          <w:highlight w:val="none"/>
        </w:rPr>
        <w:t>主要原因是</w:t>
      </w:r>
      <w:r>
        <w:rPr>
          <w:rFonts w:hint="eastAsia" w:ascii="仿宋_GB2312" w:hAnsi="ˎ̥" w:eastAsia="仿宋_GB2312"/>
          <w:color w:val="auto"/>
          <w:sz w:val="32"/>
          <w:szCs w:val="32"/>
          <w:highlight w:val="none"/>
          <w:lang w:eastAsia="zh-CN"/>
        </w:rPr>
        <w:t>公务用车老旧，导致维护费增加</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（二）财政拨款“三公”经费支出决算具体情况说明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年度财政拨款“三公”经费支出决算中，因公出国（境）费支出决算</w:t>
      </w:r>
      <w:r>
        <w:rPr>
          <w:rFonts w:hint="default" w:ascii="仿宋_GB2312" w:hAnsi="ˎ̥" w:eastAsia="仿宋_GB2312"/>
          <w:color w:val="auto"/>
          <w:sz w:val="32"/>
          <w:szCs w:val="32"/>
          <w:highlight w:val="none"/>
          <w:lang w:val="en-US"/>
        </w:rPr>
        <w:t>0.00</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%；公务用车购置及运行维护费支出决算</w:t>
      </w:r>
      <w:r>
        <w:rPr>
          <w:rFonts w:hint="default" w:ascii="仿宋_GB2312" w:hAnsi="ˎ̥" w:eastAsia="仿宋_GB2312"/>
          <w:color w:val="auto"/>
          <w:sz w:val="32"/>
          <w:szCs w:val="32"/>
          <w:highlight w:val="none"/>
          <w:lang w:val="en-US"/>
        </w:rPr>
        <w:t>0.85</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%；公务接待费支出决算</w:t>
      </w:r>
      <w:r>
        <w:rPr>
          <w:rFonts w:hint="default" w:ascii="仿宋_GB2312" w:hAnsi="ˎ̥" w:eastAsia="仿宋_GB2312"/>
          <w:color w:val="auto"/>
          <w:sz w:val="32"/>
          <w:szCs w:val="32"/>
          <w:highlight w:val="none"/>
          <w:lang w:val="en-US"/>
        </w:rPr>
        <w:t>0.00</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十、预算绩效情况说明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按照</w:t>
      </w:r>
      <w:r>
        <w:rPr>
          <w:rFonts w:hint="eastAsia" w:ascii="仿宋_GB2312" w:eastAsia="仿宋_GB2312"/>
          <w:color w:val="auto"/>
          <w:sz w:val="32"/>
          <w:szCs w:val="32"/>
          <w:highlight w:val="none"/>
          <w:lang w:eastAsia="zh-CN"/>
        </w:rPr>
        <w:t>墨脱县财政局工作要求，</w:t>
      </w:r>
      <w:r>
        <w:rPr>
          <w:rFonts w:hint="eastAsia" w:ascii="仿宋_GB2312" w:eastAsia="仿宋_GB2312"/>
          <w:color w:val="auto"/>
          <w:sz w:val="32"/>
          <w:szCs w:val="32"/>
          <w:highlight w:val="none"/>
          <w:lang w:val="en-US" w:eastAsia="zh-CN"/>
        </w:rPr>
        <w:t>2024年项目预算绩效设置不小于10项，分成本指标、产出指标、绩效指标、满意度指标等，各类指标设置科学、合理。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十一、其他重要事项情况说明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bCs/>
          <w:color w:val="auto"/>
          <w:sz w:val="32"/>
          <w:szCs w:val="32"/>
          <w:highlight w:val="none"/>
        </w:rPr>
      </w:pPr>
      <w:bookmarkStart w:id="95" w:name="_Toc18325_WPSOffice_Level2"/>
      <w:bookmarkStart w:id="96" w:name="_Toc32639_WPSOffice_Level2"/>
      <w:bookmarkStart w:id="97" w:name="_Toc23598_WPSOffice_Level2"/>
      <w:bookmarkStart w:id="98" w:name="_Toc15262_WPSOffice_Level2"/>
      <w:bookmarkStart w:id="99" w:name="_Toc5978_WPSOffice_Level2"/>
      <w:bookmarkStart w:id="100" w:name="_Toc15565_WPSOffice_Level2"/>
      <w:r>
        <w:rPr>
          <w:rFonts w:hint="eastAsia" w:ascii="楷体" w:hAnsi="楷体" w:eastAsia="楷体" w:cs="楷体"/>
          <w:bCs/>
          <w:color w:val="auto"/>
          <w:sz w:val="32"/>
          <w:szCs w:val="32"/>
          <w:highlight w:val="none"/>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w:t>
      </w:r>
      <w:r>
        <w:rPr>
          <w:rFonts w:hint="eastAsia" w:ascii="仿宋_GB2312" w:hAnsi="ˎ̥" w:eastAsia="仿宋_GB2312"/>
          <w:color w:val="auto"/>
          <w:sz w:val="32"/>
          <w:szCs w:val="32"/>
          <w:highlight w:val="none"/>
          <w:lang w:val="en-US" w:eastAsia="zh-CN"/>
        </w:rPr>
        <w:t>本部门</w:t>
      </w:r>
      <w:r>
        <w:rPr>
          <w:rFonts w:hint="eastAsia" w:ascii="仿宋_GB2312" w:hAnsi="ˎ̥" w:eastAsia="仿宋_GB2312"/>
          <w:color w:val="auto"/>
          <w:sz w:val="32"/>
          <w:szCs w:val="32"/>
          <w:highlight w:val="none"/>
        </w:rPr>
        <w:t>机关运行经费</w:t>
      </w:r>
      <w:r>
        <w:rPr>
          <w:rFonts w:ascii="仿宋_GB2312" w:hAnsi="ˎ̥" w:eastAsia="仿宋_GB2312"/>
          <w:color w:val="auto"/>
          <w:sz w:val="32"/>
          <w:szCs w:val="32"/>
          <w:highlight w:val="none"/>
          <w:lang w:val="en-US"/>
        </w:rPr>
        <w:t>17.34</w:t>
      </w:r>
      <w:r>
        <w:rPr>
          <w:rFonts w:hint="eastAsia" w:ascii="仿宋_GB2312" w:hAnsi="ˎ̥" w:eastAsia="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bCs/>
          <w:color w:val="auto"/>
          <w:sz w:val="32"/>
          <w:szCs w:val="32"/>
          <w:highlight w:val="none"/>
        </w:rPr>
      </w:pPr>
      <w:bookmarkStart w:id="101" w:name="_Toc30383_WPSOffice_Level2"/>
      <w:bookmarkStart w:id="102" w:name="_Toc23966_WPSOffice_Level2"/>
      <w:bookmarkStart w:id="103" w:name="_Toc32689_WPSOffice_Level2"/>
      <w:bookmarkStart w:id="104" w:name="_Toc13084_WPSOffice_Level2"/>
      <w:bookmarkStart w:id="105" w:name="_Toc25333_WPSOffice_Level2"/>
      <w:bookmarkStart w:id="106" w:name="_Toc3131_WPSOffice_Level2"/>
      <w:r>
        <w:rPr>
          <w:rFonts w:hint="eastAsia" w:ascii="楷体" w:hAnsi="楷体" w:eastAsia="楷体" w:cs="楷体"/>
          <w:bCs/>
          <w:color w:val="auto"/>
          <w:sz w:val="32"/>
          <w:szCs w:val="32"/>
          <w:highlight w:val="none"/>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政府采购</w:t>
      </w:r>
      <w:r>
        <w:rPr>
          <w:rFonts w:hint="eastAsia" w:ascii="仿宋_GB2312" w:hAnsi="ˎ̥" w:eastAsia="仿宋_GB2312"/>
          <w:color w:val="auto"/>
          <w:sz w:val="32"/>
          <w:szCs w:val="32"/>
          <w:highlight w:val="none"/>
          <w:lang w:eastAsia="zh-CN"/>
        </w:rPr>
        <w:t>无</w:t>
      </w:r>
      <w:r>
        <w:rPr>
          <w:rFonts w:hint="eastAsia" w:ascii="仿宋_GB2312" w:hAnsi="ˎ̥" w:eastAsia="仿宋_GB2312"/>
          <w:color w:val="auto"/>
          <w:sz w:val="32"/>
          <w:szCs w:val="32"/>
          <w:highlight w:val="none"/>
        </w:rPr>
        <w:t>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bCs/>
          <w:color w:val="auto"/>
          <w:sz w:val="32"/>
          <w:szCs w:val="32"/>
          <w:highlight w:val="none"/>
        </w:rPr>
      </w:pPr>
      <w:bookmarkStart w:id="107" w:name="_Toc15129_WPSOffice_Level2"/>
      <w:bookmarkStart w:id="108" w:name="_Toc10902_WPSOffice_Level2"/>
      <w:bookmarkStart w:id="109" w:name="_Toc19989_WPSOffice_Level2"/>
      <w:bookmarkStart w:id="110" w:name="_Toc6016_WPSOffice_Level2"/>
      <w:bookmarkStart w:id="111" w:name="_Toc527_WPSOffice_Level2"/>
      <w:bookmarkStart w:id="112" w:name="_Toc29584_WPSOffice_Level2"/>
      <w:r>
        <w:rPr>
          <w:rFonts w:hint="eastAsia" w:ascii="楷体" w:hAnsi="楷体" w:eastAsia="楷体" w:cs="楷体"/>
          <w:bCs/>
          <w:color w:val="auto"/>
          <w:sz w:val="32"/>
          <w:szCs w:val="32"/>
          <w:highlight w:val="none"/>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bCs/>
          <w:color w:val="auto"/>
          <w:sz w:val="32"/>
          <w:szCs w:val="32"/>
          <w:highlight w:val="none"/>
        </w:rPr>
        <w:t>截至</w:t>
      </w:r>
      <w:r>
        <w:rPr>
          <w:rFonts w:hint="default" w:ascii="仿宋_GB2312" w:hAnsi="ˎ̥" w:eastAsia="仿宋_GB2312"/>
          <w:bCs/>
          <w:color w:val="auto"/>
          <w:sz w:val="32"/>
          <w:szCs w:val="32"/>
          <w:highlight w:val="none"/>
          <w:lang w:val="en-US"/>
        </w:rPr>
        <w:t>2024</w:t>
      </w:r>
      <w:r>
        <w:rPr>
          <w:rFonts w:hint="eastAsia" w:ascii="仿宋_GB2312" w:hAnsi="ˎ̥" w:eastAsia="仿宋_GB2312"/>
          <w:bCs/>
          <w:color w:val="auto"/>
          <w:sz w:val="32"/>
          <w:szCs w:val="32"/>
          <w:highlight w:val="none"/>
        </w:rPr>
        <w:t>年12月31日，本部门拥有</w:t>
      </w:r>
      <w:r>
        <w:rPr>
          <w:rFonts w:hint="eastAsia" w:ascii="仿宋_GB2312" w:hAnsi="ˎ̥" w:eastAsia="仿宋_GB2312"/>
          <w:color w:val="auto"/>
          <w:sz w:val="32"/>
          <w:szCs w:val="32"/>
          <w:highlight w:val="none"/>
        </w:rPr>
        <w:t>房屋面积</w:t>
      </w:r>
      <w:r>
        <w:rPr>
          <w:rFonts w:hint="eastAsia" w:ascii="仿宋_GB2312" w:hAnsi="ˎ̥" w:eastAsia="仿宋_GB2312"/>
          <w:color w:val="auto"/>
          <w:sz w:val="32"/>
          <w:szCs w:val="32"/>
          <w:highlight w:val="none"/>
          <w:lang w:val="en-US" w:eastAsia="zh-CN"/>
        </w:rPr>
        <w:t>198</w:t>
      </w:r>
      <w:r>
        <w:rPr>
          <w:rFonts w:hint="eastAsia" w:ascii="仿宋_GB2312" w:hAnsi="ˎ̥" w:eastAsia="仿宋_GB2312"/>
          <w:color w:val="auto"/>
          <w:sz w:val="32"/>
          <w:szCs w:val="32"/>
          <w:highlight w:val="none"/>
        </w:rPr>
        <w:t>平方米</w:t>
      </w:r>
      <w:r>
        <w:rPr>
          <w:rFonts w:hint="eastAsia" w:ascii="仿宋_GB2312" w:hAnsi="ˎ̥" w:eastAsia="仿宋_GB2312"/>
          <w:color w:val="auto"/>
          <w:sz w:val="32"/>
          <w:szCs w:val="32"/>
          <w:highlight w:val="none"/>
          <w:lang w:eastAsia="zh-CN"/>
        </w:rPr>
        <w:t>（人大政协楼）。</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本部门共有车辆</w:t>
      </w:r>
      <w:r>
        <w:rPr>
          <w:rFonts w:hint="eastAsia" w:ascii="仿宋_GB2312" w:hAnsi="ˎ̥" w:eastAsia="仿宋_GB2312"/>
          <w:color w:val="auto"/>
          <w:sz w:val="32"/>
          <w:szCs w:val="32"/>
          <w:highlight w:val="none"/>
          <w:lang w:val="en-US" w:eastAsia="zh-CN"/>
        </w:rPr>
        <w:t>1</w:t>
      </w:r>
      <w:r>
        <w:rPr>
          <w:rFonts w:hint="eastAsia" w:ascii="仿宋_GB2312" w:hAnsi="ˎ̥" w:eastAsia="仿宋_GB2312"/>
          <w:color w:val="auto"/>
          <w:sz w:val="32"/>
          <w:szCs w:val="32"/>
          <w:highlight w:val="none"/>
        </w:rPr>
        <w:t>辆</w:t>
      </w:r>
      <w:r>
        <w:rPr>
          <w:rFonts w:hint="eastAsia" w:ascii="仿宋_GB2312" w:hAnsi="ˎ̥" w:eastAsia="仿宋_GB2312"/>
          <w:color w:val="auto"/>
          <w:sz w:val="32"/>
          <w:szCs w:val="32"/>
          <w:highlight w:val="none"/>
          <w:lang w:eastAsia="zh-CN"/>
        </w:rPr>
        <w:t>，</w:t>
      </w:r>
      <w:r>
        <w:rPr>
          <w:rFonts w:hint="eastAsia" w:ascii="仿宋_GB2312" w:hAnsi="ˎ̥" w:eastAsia="仿宋_GB2312"/>
          <w:color w:val="auto"/>
          <w:sz w:val="32"/>
          <w:szCs w:val="32"/>
          <w:highlight w:val="none"/>
        </w:rPr>
        <w:t>其他用</w:t>
      </w:r>
      <w:r>
        <w:rPr>
          <w:rFonts w:hint="eastAsia" w:ascii="仿宋_GB2312" w:hAnsi="ˎ̥" w:eastAsia="仿宋_GB2312"/>
          <w:color w:val="auto"/>
          <w:sz w:val="32"/>
          <w:szCs w:val="32"/>
          <w:highlight w:val="none"/>
          <w:lang w:eastAsia="zh-CN"/>
        </w:rPr>
        <w:t>车</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黑体" w:hAnsi="ˎ̥" w:eastAsia="黑体"/>
          <w:color w:val="auto"/>
          <w:sz w:val="32"/>
          <w:szCs w:val="32"/>
          <w:highlight w:val="none"/>
        </w:rPr>
      </w:pPr>
      <w:bookmarkStart w:id="113" w:name="_Toc4398_WPSOffice_Level1"/>
      <w:bookmarkStart w:id="114" w:name="_Toc15425_WPSOffice_Level1"/>
      <w:bookmarkStart w:id="115" w:name="_Toc8874_WPSOffice_Level1"/>
      <w:bookmarkStart w:id="116" w:name="_Toc17580_WPSOffice_Level1"/>
      <w:bookmarkStart w:id="117" w:name="_Toc8808_WPSOffice_Level1"/>
      <w:bookmarkStart w:id="118" w:name="_Toc11039_WPSOffice_Level1"/>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黑体" w:hAnsi="ˎ̥" w:eastAsia="黑体"/>
          <w:color w:val="auto"/>
          <w:sz w:val="32"/>
          <w:szCs w:val="32"/>
          <w:highlight w:val="none"/>
        </w:rPr>
      </w:pPr>
      <w:r>
        <w:rPr>
          <w:rFonts w:hint="eastAsia" w:ascii="黑体" w:hAnsi="ˎ̥" w:eastAsia="黑体"/>
          <w:color w:val="auto"/>
          <w:sz w:val="32"/>
          <w:szCs w:val="32"/>
          <w:highlight w:val="none"/>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黑体" w:hAnsi="ˎ̥" w:eastAsia="黑体"/>
          <w:color w:val="auto"/>
          <w:sz w:val="32"/>
          <w:szCs w:val="32"/>
          <w:highlight w:val="none"/>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color w:val="auto"/>
          <w:highlight w:val="none"/>
        </w:rPr>
      </w:pPr>
      <w:r>
        <w:rPr>
          <w:rFonts w:hint="eastAsia" w:ascii="仿宋_GB2312" w:hAnsi="ˎ̥" w:eastAsia="仿宋_GB2312"/>
          <w:color w:val="auto"/>
          <w:sz w:val="32"/>
          <w:szCs w:val="32"/>
          <w:highlight w:val="none"/>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6D6F3B"/>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59126E"/>
    <w:rsid w:val="01A532AA"/>
    <w:rsid w:val="01E924B1"/>
    <w:rsid w:val="02BF3353"/>
    <w:rsid w:val="030A0A72"/>
    <w:rsid w:val="039842CF"/>
    <w:rsid w:val="04005DAE"/>
    <w:rsid w:val="04DC4690"/>
    <w:rsid w:val="0560706F"/>
    <w:rsid w:val="05D84E57"/>
    <w:rsid w:val="066B1A4A"/>
    <w:rsid w:val="06A92350"/>
    <w:rsid w:val="06C74ECC"/>
    <w:rsid w:val="08AA74EA"/>
    <w:rsid w:val="090B72F2"/>
    <w:rsid w:val="09201287"/>
    <w:rsid w:val="093C74AB"/>
    <w:rsid w:val="096B4234"/>
    <w:rsid w:val="0C371869"/>
    <w:rsid w:val="0C5E1E2E"/>
    <w:rsid w:val="0CCF0636"/>
    <w:rsid w:val="0D5B011C"/>
    <w:rsid w:val="0D821B4C"/>
    <w:rsid w:val="0DBF06AB"/>
    <w:rsid w:val="0EED1247"/>
    <w:rsid w:val="0F022F45"/>
    <w:rsid w:val="0F1669F0"/>
    <w:rsid w:val="0F1F58A5"/>
    <w:rsid w:val="0FC80124"/>
    <w:rsid w:val="103A5C8E"/>
    <w:rsid w:val="12B819A7"/>
    <w:rsid w:val="130823E0"/>
    <w:rsid w:val="136F98C7"/>
    <w:rsid w:val="138C7281"/>
    <w:rsid w:val="13CA1B57"/>
    <w:rsid w:val="13F92742"/>
    <w:rsid w:val="14180B15"/>
    <w:rsid w:val="154B08A0"/>
    <w:rsid w:val="15655FDB"/>
    <w:rsid w:val="15891CCA"/>
    <w:rsid w:val="17427E68"/>
    <w:rsid w:val="1755065F"/>
    <w:rsid w:val="1988673C"/>
    <w:rsid w:val="19940C3D"/>
    <w:rsid w:val="19946E8F"/>
    <w:rsid w:val="1A855131"/>
    <w:rsid w:val="1AAF5670"/>
    <w:rsid w:val="1AFC29C9"/>
    <w:rsid w:val="1B1F6C2C"/>
    <w:rsid w:val="1B3E70B3"/>
    <w:rsid w:val="1BCE5EF6"/>
    <w:rsid w:val="1BE03E10"/>
    <w:rsid w:val="1C512E16"/>
    <w:rsid w:val="1CA52F2E"/>
    <w:rsid w:val="1CD37CCF"/>
    <w:rsid w:val="1DE57CB9"/>
    <w:rsid w:val="1DF0665E"/>
    <w:rsid w:val="1DF47EFC"/>
    <w:rsid w:val="1DFE370B"/>
    <w:rsid w:val="1E3630B9"/>
    <w:rsid w:val="1E4C1AE7"/>
    <w:rsid w:val="1EF44A96"/>
    <w:rsid w:val="214116AB"/>
    <w:rsid w:val="22603DB2"/>
    <w:rsid w:val="249E0BC2"/>
    <w:rsid w:val="264F6618"/>
    <w:rsid w:val="26EEC2B5"/>
    <w:rsid w:val="2758774E"/>
    <w:rsid w:val="28926C90"/>
    <w:rsid w:val="290A0F1C"/>
    <w:rsid w:val="29472309"/>
    <w:rsid w:val="295B52D4"/>
    <w:rsid w:val="29D07A70"/>
    <w:rsid w:val="29EB48A9"/>
    <w:rsid w:val="2A1D6A2D"/>
    <w:rsid w:val="2A506E02"/>
    <w:rsid w:val="2AA1140C"/>
    <w:rsid w:val="2B0379D1"/>
    <w:rsid w:val="2B406E77"/>
    <w:rsid w:val="2BA47406"/>
    <w:rsid w:val="2BAA609E"/>
    <w:rsid w:val="2C2A0C43"/>
    <w:rsid w:val="2CB05936"/>
    <w:rsid w:val="2CE37ABA"/>
    <w:rsid w:val="2CFE66A2"/>
    <w:rsid w:val="2D1E73A5"/>
    <w:rsid w:val="2E073C7C"/>
    <w:rsid w:val="2E5657D8"/>
    <w:rsid w:val="2F762E67"/>
    <w:rsid w:val="2FC33BD3"/>
    <w:rsid w:val="304821A5"/>
    <w:rsid w:val="31615451"/>
    <w:rsid w:val="31E57E30"/>
    <w:rsid w:val="32717154"/>
    <w:rsid w:val="34B63260"/>
    <w:rsid w:val="35101668"/>
    <w:rsid w:val="35270760"/>
    <w:rsid w:val="35AB313F"/>
    <w:rsid w:val="36962041"/>
    <w:rsid w:val="37C624B2"/>
    <w:rsid w:val="37FDA7E2"/>
    <w:rsid w:val="3A314D88"/>
    <w:rsid w:val="3A32322C"/>
    <w:rsid w:val="3A5C0EAC"/>
    <w:rsid w:val="3A746883"/>
    <w:rsid w:val="3AC16F61"/>
    <w:rsid w:val="3BC82C9D"/>
    <w:rsid w:val="3C335C3C"/>
    <w:rsid w:val="3C7F0E81"/>
    <w:rsid w:val="3CA15DE9"/>
    <w:rsid w:val="3DF8538F"/>
    <w:rsid w:val="3F057D64"/>
    <w:rsid w:val="3F5860E5"/>
    <w:rsid w:val="3F7D5B4C"/>
    <w:rsid w:val="3FCA68B7"/>
    <w:rsid w:val="3FE61EE5"/>
    <w:rsid w:val="40026051"/>
    <w:rsid w:val="406508EE"/>
    <w:rsid w:val="408D6263"/>
    <w:rsid w:val="41B40CEE"/>
    <w:rsid w:val="421D09FC"/>
    <w:rsid w:val="42C85330"/>
    <w:rsid w:val="430E60F0"/>
    <w:rsid w:val="44250560"/>
    <w:rsid w:val="45511428"/>
    <w:rsid w:val="461D3BE5"/>
    <w:rsid w:val="47431429"/>
    <w:rsid w:val="47451645"/>
    <w:rsid w:val="479C2F21"/>
    <w:rsid w:val="48317291"/>
    <w:rsid w:val="485F7024"/>
    <w:rsid w:val="488551D2"/>
    <w:rsid w:val="48E70666"/>
    <w:rsid w:val="4A8E50B1"/>
    <w:rsid w:val="4B1D01E3"/>
    <w:rsid w:val="4BE96317"/>
    <w:rsid w:val="4C2630C7"/>
    <w:rsid w:val="4C417F01"/>
    <w:rsid w:val="4C6877E5"/>
    <w:rsid w:val="4C910E89"/>
    <w:rsid w:val="4D6A468D"/>
    <w:rsid w:val="4EA86137"/>
    <w:rsid w:val="4ECF5C98"/>
    <w:rsid w:val="4F9D18F3"/>
    <w:rsid w:val="511107EA"/>
    <w:rsid w:val="520C2D5F"/>
    <w:rsid w:val="52426781"/>
    <w:rsid w:val="5256119B"/>
    <w:rsid w:val="52AF3E17"/>
    <w:rsid w:val="52C61160"/>
    <w:rsid w:val="53B50BFF"/>
    <w:rsid w:val="53CB1124"/>
    <w:rsid w:val="53F73CC7"/>
    <w:rsid w:val="551E64AC"/>
    <w:rsid w:val="55570796"/>
    <w:rsid w:val="556D1D67"/>
    <w:rsid w:val="56CA7FD0"/>
    <w:rsid w:val="57FA38D1"/>
    <w:rsid w:val="5A9113BA"/>
    <w:rsid w:val="5B9153F7"/>
    <w:rsid w:val="5C403D31"/>
    <w:rsid w:val="5C594DF3"/>
    <w:rsid w:val="5CAA7AE8"/>
    <w:rsid w:val="5D6121B1"/>
    <w:rsid w:val="5DAE10DD"/>
    <w:rsid w:val="5F0279C4"/>
    <w:rsid w:val="5F72149E"/>
    <w:rsid w:val="5F7D3333"/>
    <w:rsid w:val="5F8A1E93"/>
    <w:rsid w:val="5F920D48"/>
    <w:rsid w:val="5FED5F7E"/>
    <w:rsid w:val="60AC5E39"/>
    <w:rsid w:val="61385890"/>
    <w:rsid w:val="614B7C0C"/>
    <w:rsid w:val="616B35FF"/>
    <w:rsid w:val="618E553F"/>
    <w:rsid w:val="6200643D"/>
    <w:rsid w:val="63090CF8"/>
    <w:rsid w:val="63251ED3"/>
    <w:rsid w:val="6504510C"/>
    <w:rsid w:val="6692787F"/>
    <w:rsid w:val="67696832"/>
    <w:rsid w:val="686314D3"/>
    <w:rsid w:val="687436E1"/>
    <w:rsid w:val="6AB54322"/>
    <w:rsid w:val="6CA924FD"/>
    <w:rsid w:val="6CE34991"/>
    <w:rsid w:val="6D350F65"/>
    <w:rsid w:val="6D4B2536"/>
    <w:rsid w:val="6DA45C50"/>
    <w:rsid w:val="6DA632F0"/>
    <w:rsid w:val="6DAA3701"/>
    <w:rsid w:val="6DCF4F15"/>
    <w:rsid w:val="6E380D0C"/>
    <w:rsid w:val="6E9A7825"/>
    <w:rsid w:val="6EF809F1"/>
    <w:rsid w:val="6EFA4214"/>
    <w:rsid w:val="6F670F9B"/>
    <w:rsid w:val="7007308C"/>
    <w:rsid w:val="705F07D2"/>
    <w:rsid w:val="709611CF"/>
    <w:rsid w:val="709F1517"/>
    <w:rsid w:val="713954C7"/>
    <w:rsid w:val="7164006A"/>
    <w:rsid w:val="737450E0"/>
    <w:rsid w:val="73AF1A71"/>
    <w:rsid w:val="73F676A0"/>
    <w:rsid w:val="74054476"/>
    <w:rsid w:val="742F38C4"/>
    <w:rsid w:val="74AB66DC"/>
    <w:rsid w:val="74C4154C"/>
    <w:rsid w:val="7543158E"/>
    <w:rsid w:val="75956FFF"/>
    <w:rsid w:val="77422BFC"/>
    <w:rsid w:val="775E6885"/>
    <w:rsid w:val="77AA2D01"/>
    <w:rsid w:val="78210A63"/>
    <w:rsid w:val="78E24696"/>
    <w:rsid w:val="79053EE1"/>
    <w:rsid w:val="7A437CC2"/>
    <w:rsid w:val="7AD95625"/>
    <w:rsid w:val="7CDE1DBD"/>
    <w:rsid w:val="7D943A85"/>
    <w:rsid w:val="7DB0448C"/>
    <w:rsid w:val="7DD02D0F"/>
    <w:rsid w:val="7E1B7DD6"/>
    <w:rsid w:val="7E244E09"/>
    <w:rsid w:val="7E413C0D"/>
    <w:rsid w:val="7E5F9AA4"/>
    <w:rsid w:val="8FFC8888"/>
    <w:rsid w:val="A7F73C99"/>
    <w:rsid w:val="BFFE3BF4"/>
    <w:rsid w:val="DFEBDA37"/>
    <w:rsid w:val="EC7FA6F8"/>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Indent"/>
    <w:basedOn w:val="1"/>
    <w:next w:val="4"/>
    <w:unhideWhenUsed/>
    <w:qFormat/>
    <w:uiPriority w:val="99"/>
    <w:pPr>
      <w:spacing w:after="120"/>
      <w:ind w:left="420" w:leftChars="200"/>
    </w:p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toc 3"/>
    <w:basedOn w:val="1"/>
    <w:next w:val="1"/>
    <w:unhideWhenUsed/>
    <w:qFormat/>
    <w:uiPriority w:val="39"/>
    <w:pPr>
      <w:ind w:left="840" w:leftChars="400"/>
    </w:pPr>
  </w:style>
  <w:style w:type="paragraph" w:styleId="6">
    <w:name w:val="Balloon Text"/>
    <w:basedOn w:val="1"/>
    <w:link w:val="15"/>
    <w:qFormat/>
    <w:uiPriority w:val="0"/>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qFormat/>
    <w:uiPriority w:val="0"/>
    <w:rPr>
      <w:b/>
      <w:bCs/>
    </w:rPr>
  </w:style>
  <w:style w:type="paragraph" w:styleId="9">
    <w:name w:val="Body Text First Indent 2"/>
    <w:basedOn w:val="3"/>
    <w:next w:val="5"/>
    <w:qFormat/>
    <w:uiPriority w:val="0"/>
    <w:pPr>
      <w:spacing w:after="0"/>
      <w:ind w:left="0" w:leftChars="0" w:firstLine="420" w:firstLineChars="200"/>
    </w:pPr>
    <w:rPr>
      <w:rFonts w:ascii="Calibri" w:hAnsi="Calibri" w:eastAsia="宋体" w:cs="Times New Roman"/>
      <w:szCs w:val="24"/>
    </w:rPr>
  </w:style>
  <w:style w:type="character" w:styleId="12">
    <w:name w:val="page number"/>
    <w:qFormat/>
    <w:uiPriority w:val="0"/>
  </w:style>
  <w:style w:type="character" w:styleId="13">
    <w:name w:val="annotation reference"/>
    <w:qFormat/>
    <w:uiPriority w:val="0"/>
    <w:rPr>
      <w:sz w:val="21"/>
      <w:szCs w:val="21"/>
    </w:rPr>
  </w:style>
  <w:style w:type="character" w:customStyle="1" w:styleId="14">
    <w:name w:val="批注文字 Char"/>
    <w:link w:val="2"/>
    <w:qFormat/>
    <w:uiPriority w:val="0"/>
    <w:rPr>
      <w:kern w:val="2"/>
      <w:sz w:val="21"/>
      <w:szCs w:val="24"/>
    </w:rPr>
  </w:style>
  <w:style w:type="character" w:customStyle="1" w:styleId="15">
    <w:name w:val="批注框文本 Char"/>
    <w:link w:val="6"/>
    <w:qFormat/>
    <w:uiPriority w:val="0"/>
    <w:rPr>
      <w:kern w:val="2"/>
      <w:sz w:val="18"/>
      <w:szCs w:val="18"/>
    </w:rPr>
  </w:style>
  <w:style w:type="character" w:customStyle="1" w:styleId="16">
    <w:name w:val="页眉 Char"/>
    <w:link w:val="7"/>
    <w:qFormat/>
    <w:uiPriority w:val="0"/>
    <w:rPr>
      <w:kern w:val="2"/>
      <w:sz w:val="18"/>
      <w:szCs w:val="18"/>
    </w:rPr>
  </w:style>
  <w:style w:type="character" w:customStyle="1" w:styleId="17">
    <w:name w:val="批注主题 Char"/>
    <w:link w:val="8"/>
    <w:qFormat/>
    <w:uiPriority w:val="0"/>
    <w:rPr>
      <w:b/>
      <w:bCs/>
      <w:kern w:val="2"/>
      <w:sz w:val="21"/>
      <w:szCs w:val="24"/>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Chars="200"/>
    </w:pPr>
    <w:rPr>
      <w:rFonts w:ascii="Times New Roman" w:hAnsi="Times New Roman" w:eastAsia="宋体" w:cs="Times New Roman"/>
      <w:lang w:val="en-US" w:eastAsia="zh-CN" w:bidi="ar-SA"/>
    </w:rPr>
  </w:style>
  <w:style w:type="paragraph" w:customStyle="1" w:styleId="20">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7132</Words>
  <Characters>10463</Characters>
  <Lines>67</Lines>
  <Paragraphs>18</Paragraphs>
  <TotalTime>23</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2025-10-23T11:31:00Z</cp:lastPrinted>
  <dcterms:modified xsi:type="dcterms:W3CDTF">2025-10-24T11:56:08Z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