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墨脱县总工会2024年度部门决算公开报告</w:t>
      </w:r>
    </w:p>
    <w:p>
      <w:pPr>
        <w:spacing w:line="578" w:lineRule="exact"/>
        <w:jc w:val="center"/>
        <w:rPr>
          <w:rFonts w:ascii="黑体" w:hAnsi="ˎ̥" w:eastAsia="黑体"/>
          <w:b/>
          <w:color w:val="auto"/>
          <w:sz w:val="32"/>
          <w:szCs w:val="32"/>
        </w:rPr>
      </w:pPr>
    </w:p>
    <w:p>
      <w:pPr>
        <w:spacing w:line="578" w:lineRule="exact"/>
        <w:jc w:val="center"/>
        <w:rPr>
          <w:rFonts w:ascii="黑体" w:hAnsi="黑体" w:eastAsia="黑体" w:cs="黑体"/>
          <w:color w:val="auto"/>
          <w:sz w:val="44"/>
          <w:szCs w:val="44"/>
        </w:rPr>
      </w:pPr>
      <w:bookmarkStart w:id="0" w:name="_Toc11440_WPSOffice_Type2"/>
      <w:r>
        <w:rPr>
          <w:rFonts w:hint="eastAsia" w:ascii="黑体" w:hAnsi="黑体" w:eastAsia="黑体" w:cs="黑体"/>
          <w:color w:val="auto"/>
          <w:sz w:val="44"/>
          <w:szCs w:val="44"/>
        </w:rPr>
        <w:t>目  录</w:t>
      </w:r>
    </w:p>
    <w:p>
      <w:pPr>
        <w:pStyle w:val="15"/>
        <w:tabs>
          <w:tab w:val="right" w:leader="dot" w:pos="8306"/>
        </w:tabs>
        <w:spacing w:line="578" w:lineRule="exact"/>
        <w:rPr>
          <w:color w:val="auto"/>
          <w:sz w:val="32"/>
          <w:szCs w:val="32"/>
        </w:rPr>
      </w:pPr>
      <w:r>
        <w:rPr>
          <w:color w:val="auto"/>
        </w:rPr>
        <w:fldChar w:fldCharType="begin"/>
      </w:r>
      <w:r>
        <w:rPr>
          <w:color w:val="auto"/>
        </w:rPr>
        <w:instrText xml:space="preserve"> HYPERLINK \l "_Toc1704_WPSOffice_Level1" </w:instrText>
      </w:r>
      <w:r>
        <w:rPr>
          <w:color w:val="auto"/>
        </w:rPr>
        <w:fldChar w:fldCharType="separate"/>
      </w:r>
      <w:r>
        <w:rPr>
          <w:rFonts w:hint="eastAsia" w:ascii="黑体" w:hAnsi="ˎ̥" w:eastAsia="黑体"/>
          <w:color w:val="auto"/>
          <w:sz w:val="32"/>
          <w:szCs w:val="32"/>
        </w:rPr>
        <w:t>第一部分 基本情况</w:t>
      </w:r>
      <w:r>
        <w:rPr>
          <w:color w:val="auto"/>
          <w:sz w:val="32"/>
          <w:szCs w:val="32"/>
        </w:rPr>
        <w:tab/>
      </w:r>
      <w:r>
        <w:rPr>
          <w:color w:val="auto"/>
          <w:sz w:val="32"/>
          <w:szCs w:val="32"/>
        </w:rPr>
        <w:fldChar w:fldCharType="end"/>
      </w:r>
      <w:r>
        <w:rPr>
          <w:rFonts w:hint="eastAsia"/>
          <w:color w:val="auto"/>
          <w:sz w:val="32"/>
          <w:szCs w:val="32"/>
        </w:rPr>
        <w:t>2</w:t>
      </w:r>
    </w:p>
    <w:p>
      <w:pPr>
        <w:pStyle w:val="16"/>
        <w:tabs>
          <w:tab w:val="right" w:leader="dot" w:pos="8306"/>
        </w:tabs>
        <w:spacing w:line="578" w:lineRule="exact"/>
        <w:ind w:leftChars="0"/>
        <w:rPr>
          <w:rFonts w:ascii="仿宋" w:hAnsi="仿宋" w:eastAsia="仿宋" w:cs="仿宋"/>
          <w:color w:val="auto"/>
          <w:sz w:val="32"/>
          <w:szCs w:val="32"/>
        </w:rPr>
      </w:pPr>
      <w:r>
        <w:rPr>
          <w:color w:val="auto"/>
        </w:rPr>
        <w:fldChar w:fldCharType="begin"/>
      </w:r>
      <w:r>
        <w:rPr>
          <w:color w:val="auto"/>
        </w:rPr>
        <w:instrText xml:space="preserve"> HYPERLINK \l "_Toc20274_WPSOffice_Level2" </w:instrText>
      </w:r>
      <w:r>
        <w:rPr>
          <w:color w:val="auto"/>
        </w:rPr>
        <w:fldChar w:fldCharType="separate"/>
      </w:r>
      <w:r>
        <w:rPr>
          <w:rFonts w:hint="eastAsia" w:ascii="仿宋" w:hAnsi="仿宋" w:eastAsia="仿宋" w:cs="仿宋"/>
          <w:color w:val="auto"/>
          <w:sz w:val="32"/>
          <w:szCs w:val="32"/>
        </w:rPr>
        <w:t>一、部门（单位）职责</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6"/>
        <w:tabs>
          <w:tab w:val="right" w:leader="dot" w:pos="8306"/>
        </w:tabs>
        <w:spacing w:line="578" w:lineRule="exact"/>
        <w:ind w:leftChars="0"/>
        <w:rPr>
          <w:rFonts w:ascii="仿宋" w:hAnsi="仿宋" w:eastAsia="仿宋" w:cs="仿宋"/>
          <w:color w:val="auto"/>
          <w:sz w:val="32"/>
          <w:szCs w:val="32"/>
        </w:rPr>
      </w:pPr>
      <w:r>
        <w:rPr>
          <w:color w:val="auto"/>
        </w:rPr>
        <w:fldChar w:fldCharType="begin"/>
      </w:r>
      <w:r>
        <w:rPr>
          <w:color w:val="auto"/>
        </w:rPr>
        <w:instrText xml:space="preserve"> HYPERLINK \l "_Toc4833_WPSOffice_Level2" </w:instrText>
      </w:r>
      <w:r>
        <w:rPr>
          <w:color w:val="auto"/>
        </w:rPr>
        <w:fldChar w:fldCharType="separate"/>
      </w:r>
      <w:r>
        <w:rPr>
          <w:rFonts w:hint="eastAsia" w:ascii="仿宋" w:hAnsi="仿宋" w:eastAsia="仿宋" w:cs="仿宋"/>
          <w:color w:val="auto"/>
          <w:sz w:val="32"/>
          <w:szCs w:val="32"/>
        </w:rPr>
        <w:t>二、机构设置</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5"/>
        <w:tabs>
          <w:tab w:val="right" w:leader="dot" w:pos="8306"/>
        </w:tabs>
        <w:spacing w:line="578" w:lineRule="exact"/>
        <w:rPr>
          <w:color w:val="auto"/>
          <w:sz w:val="32"/>
          <w:szCs w:val="32"/>
        </w:rPr>
      </w:pPr>
      <w:r>
        <w:rPr>
          <w:color w:val="auto"/>
        </w:rPr>
        <w:fldChar w:fldCharType="begin"/>
      </w:r>
      <w:r>
        <w:rPr>
          <w:color w:val="auto"/>
        </w:rPr>
        <w:instrText xml:space="preserve"> HYPERLINK \l "_Toc28253_WPSOffice_Level1" </w:instrText>
      </w:r>
      <w:r>
        <w:rPr>
          <w:color w:val="auto"/>
        </w:rPr>
        <w:fldChar w:fldCharType="separate"/>
      </w:r>
      <w:r>
        <w:rPr>
          <w:rFonts w:hint="eastAsia" w:ascii="黑体" w:hAnsi="ˎ̥" w:eastAsia="黑体"/>
          <w:color w:val="auto"/>
          <w:sz w:val="32"/>
          <w:szCs w:val="32"/>
        </w:rPr>
        <w:t xml:space="preserve">第二部分  </w:t>
      </w:r>
      <w:r>
        <w:rPr>
          <w:rFonts w:ascii="黑体" w:hAnsi="ˎ̥" w:eastAsia="黑体"/>
          <w:color w:val="auto"/>
          <w:sz w:val="32"/>
          <w:szCs w:val="32"/>
        </w:rPr>
        <w:t>2024</w:t>
      </w:r>
      <w:r>
        <w:rPr>
          <w:rFonts w:hint="eastAsia" w:ascii="黑体" w:hAnsi="ˎ̥" w:eastAsia="黑体"/>
          <w:color w:val="auto"/>
          <w:sz w:val="32"/>
          <w:szCs w:val="32"/>
        </w:rPr>
        <w:t>年度部门决算公开表</w:t>
      </w:r>
      <w:r>
        <w:rPr>
          <w:color w:val="auto"/>
          <w:sz w:val="32"/>
          <w:szCs w:val="32"/>
        </w:rPr>
        <w:tab/>
      </w:r>
      <w:r>
        <w:rPr>
          <w:color w:val="auto"/>
          <w:sz w:val="32"/>
          <w:szCs w:val="32"/>
        </w:rPr>
        <w:fldChar w:fldCharType="end"/>
      </w:r>
      <w:r>
        <w:rPr>
          <w:rFonts w:hint="eastAsia"/>
          <w:color w:val="auto"/>
          <w:sz w:val="32"/>
          <w:szCs w:val="32"/>
        </w:rPr>
        <w:t>2</w:t>
      </w:r>
    </w:p>
    <w:p>
      <w:pPr>
        <w:pStyle w:val="15"/>
        <w:tabs>
          <w:tab w:val="right" w:leader="dot" w:pos="8306"/>
        </w:tabs>
        <w:spacing w:line="578" w:lineRule="exact"/>
        <w:rPr>
          <w:color w:val="auto"/>
          <w:sz w:val="32"/>
          <w:szCs w:val="32"/>
        </w:rPr>
      </w:pPr>
      <w:r>
        <w:rPr>
          <w:color w:val="auto"/>
        </w:rPr>
        <w:fldChar w:fldCharType="begin"/>
      </w:r>
      <w:r>
        <w:rPr>
          <w:color w:val="auto"/>
        </w:rPr>
        <w:instrText xml:space="preserve"> HYPERLINK \l "_Toc27590_WPSOffice_Level1" </w:instrText>
      </w:r>
      <w:r>
        <w:rPr>
          <w:color w:val="auto"/>
        </w:rPr>
        <w:fldChar w:fldCharType="separate"/>
      </w:r>
      <w:r>
        <w:rPr>
          <w:rFonts w:hint="eastAsia" w:ascii="黑体" w:hAnsi="黑体" w:eastAsia="黑体" w:cs="黑体"/>
          <w:color w:val="auto"/>
          <w:sz w:val="32"/>
          <w:szCs w:val="32"/>
        </w:rPr>
        <w:t>第三部分</w:t>
      </w:r>
      <w:r>
        <w:rPr>
          <w:rFonts w:ascii="黑体" w:hAnsi="ˎ̥" w:eastAsia="黑体"/>
          <w:color w:val="auto"/>
          <w:sz w:val="32"/>
          <w:szCs w:val="32"/>
        </w:rPr>
        <w:t>2024</w:t>
      </w:r>
      <w:r>
        <w:rPr>
          <w:rFonts w:hint="eastAsia" w:ascii="黑体" w:hAnsi="ˎ̥" w:eastAsia="黑体"/>
          <w:color w:val="auto"/>
          <w:sz w:val="32"/>
          <w:szCs w:val="32"/>
        </w:rPr>
        <w:t>年度部门决算情况说明</w:t>
      </w:r>
      <w:r>
        <w:rPr>
          <w:color w:val="auto"/>
          <w:sz w:val="32"/>
          <w:szCs w:val="32"/>
        </w:rPr>
        <w:tab/>
      </w:r>
      <w:r>
        <w:rPr>
          <w:color w:val="auto"/>
          <w:sz w:val="32"/>
          <w:szCs w:val="32"/>
        </w:rPr>
        <w:fldChar w:fldCharType="end"/>
      </w:r>
      <w:r>
        <w:rPr>
          <w:rFonts w:hint="eastAsia"/>
          <w:color w:val="auto"/>
          <w:sz w:val="32"/>
          <w:szCs w:val="32"/>
        </w:rPr>
        <w:t>3</w:t>
      </w:r>
    </w:p>
    <w:p>
      <w:pPr>
        <w:pStyle w:val="16"/>
        <w:tabs>
          <w:tab w:val="right" w:leader="dot" w:pos="8306"/>
        </w:tabs>
        <w:spacing w:line="578" w:lineRule="exact"/>
        <w:ind w:leftChars="0"/>
        <w:rPr>
          <w:rFonts w:ascii="仿宋" w:hAnsi="仿宋" w:eastAsia="仿宋" w:cs="仿宋"/>
          <w:color w:val="auto"/>
          <w:sz w:val="32"/>
          <w:szCs w:val="32"/>
        </w:rPr>
      </w:pPr>
      <w:r>
        <w:rPr>
          <w:color w:val="auto"/>
        </w:rPr>
        <w:fldChar w:fldCharType="begin"/>
      </w:r>
      <w:r>
        <w:rPr>
          <w:color w:val="auto"/>
        </w:rPr>
        <w:instrText xml:space="preserve"> HYPERLINK \l "_Toc21737_WPSOffice_Level2" </w:instrText>
      </w:r>
      <w:r>
        <w:rPr>
          <w:color w:val="auto"/>
        </w:rPr>
        <w:fldChar w:fldCharType="separate"/>
      </w:r>
      <w:r>
        <w:rPr>
          <w:rFonts w:hint="eastAsia" w:ascii="仿宋" w:hAnsi="仿宋" w:eastAsia="仿宋" w:cs="仿宋"/>
          <w:bCs/>
          <w:color w:val="auto"/>
          <w:sz w:val="32"/>
          <w:szCs w:val="32"/>
        </w:rPr>
        <w:t>一、收入支出总体情况说明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3</w:t>
      </w:r>
    </w:p>
    <w:p>
      <w:pPr>
        <w:pStyle w:val="16"/>
        <w:tabs>
          <w:tab w:val="right" w:leader="dot" w:pos="8306"/>
        </w:tabs>
        <w:spacing w:line="578" w:lineRule="exact"/>
        <w:ind w:leftChars="0"/>
        <w:rPr>
          <w:rFonts w:ascii="仿宋" w:hAnsi="仿宋" w:eastAsia="仿宋" w:cs="仿宋"/>
          <w:color w:val="auto"/>
          <w:sz w:val="32"/>
          <w:szCs w:val="32"/>
        </w:rPr>
      </w:pPr>
      <w:r>
        <w:rPr>
          <w:color w:val="auto"/>
        </w:rPr>
        <w:fldChar w:fldCharType="begin"/>
      </w:r>
      <w:r>
        <w:rPr>
          <w:color w:val="auto"/>
        </w:rPr>
        <w:instrText xml:space="preserve"> HYPERLINK \l "_Toc19535_WPSOffice_Level2" </w:instrText>
      </w:r>
      <w:r>
        <w:rPr>
          <w:color w:val="auto"/>
        </w:rPr>
        <w:fldChar w:fldCharType="separate"/>
      </w:r>
      <w:r>
        <w:rPr>
          <w:rFonts w:hint="eastAsia" w:ascii="仿宋" w:hAnsi="仿宋" w:eastAsia="仿宋" w:cs="仿宋"/>
          <w:bCs/>
          <w:color w:val="auto"/>
          <w:sz w:val="32"/>
          <w:szCs w:val="32"/>
        </w:rPr>
        <w:t>二、收入决算情况说明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6"/>
        <w:tabs>
          <w:tab w:val="right" w:leader="dot" w:pos="8306"/>
        </w:tabs>
        <w:spacing w:line="578" w:lineRule="exact"/>
        <w:ind w:leftChars="0"/>
        <w:rPr>
          <w:rFonts w:ascii="仿宋" w:hAnsi="仿宋" w:eastAsia="仿宋" w:cs="仿宋"/>
          <w:color w:val="auto"/>
          <w:sz w:val="32"/>
          <w:szCs w:val="32"/>
        </w:rPr>
      </w:pPr>
      <w:r>
        <w:rPr>
          <w:color w:val="auto"/>
        </w:rPr>
        <w:fldChar w:fldCharType="begin"/>
      </w:r>
      <w:r>
        <w:rPr>
          <w:color w:val="auto"/>
        </w:rPr>
        <w:instrText xml:space="preserve"> HYPERLINK \l "_Toc19535_WPSOffice_Level2" </w:instrText>
      </w:r>
      <w:r>
        <w:rPr>
          <w:color w:val="auto"/>
        </w:rPr>
        <w:fldChar w:fldCharType="separate"/>
      </w:r>
      <w:r>
        <w:rPr>
          <w:rFonts w:hint="eastAsia" w:ascii="仿宋" w:hAnsi="仿宋" w:eastAsia="仿宋" w:cs="仿宋"/>
          <w:bCs/>
          <w:color w:val="auto"/>
          <w:sz w:val="32"/>
          <w:szCs w:val="32"/>
        </w:rPr>
        <w:t>三、支出决算情况说明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6"/>
        <w:tabs>
          <w:tab w:val="right" w:leader="dot" w:pos="8306"/>
        </w:tabs>
        <w:spacing w:line="578" w:lineRule="exact"/>
        <w:ind w:leftChars="0"/>
        <w:rPr>
          <w:rFonts w:ascii="仿宋" w:hAnsi="仿宋" w:eastAsia="仿宋" w:cs="仿宋"/>
          <w:color w:val="auto"/>
          <w:sz w:val="32"/>
          <w:szCs w:val="32"/>
        </w:rPr>
      </w:pPr>
      <w:r>
        <w:rPr>
          <w:color w:val="auto"/>
        </w:rPr>
        <w:fldChar w:fldCharType="begin"/>
      </w:r>
      <w:r>
        <w:rPr>
          <w:color w:val="auto"/>
        </w:rPr>
        <w:instrText xml:space="preserve"> HYPERLINK \l "_Toc19535_WPSOffice_Level2" </w:instrText>
      </w:r>
      <w:r>
        <w:rPr>
          <w:color w:val="auto"/>
        </w:rPr>
        <w:fldChar w:fldCharType="separate"/>
      </w:r>
      <w:r>
        <w:rPr>
          <w:rFonts w:hint="eastAsia" w:ascii="仿宋" w:hAnsi="仿宋" w:eastAsia="仿宋" w:cs="仿宋"/>
          <w:bCs/>
          <w:color w:val="auto"/>
          <w:sz w:val="32"/>
          <w:szCs w:val="32"/>
        </w:rPr>
        <w:t>四、财政拨款收入支出决算总体情况说明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6"/>
        <w:tabs>
          <w:tab w:val="right" w:leader="dot" w:pos="8306"/>
        </w:tabs>
        <w:spacing w:line="578" w:lineRule="exact"/>
        <w:ind w:leftChars="0"/>
        <w:rPr>
          <w:rFonts w:ascii="仿宋" w:hAnsi="仿宋" w:eastAsia="仿宋" w:cs="仿宋"/>
          <w:color w:val="auto"/>
          <w:sz w:val="32"/>
          <w:szCs w:val="32"/>
        </w:rPr>
      </w:pPr>
      <w:r>
        <w:rPr>
          <w:color w:val="auto"/>
        </w:rPr>
        <w:fldChar w:fldCharType="begin"/>
      </w:r>
      <w:r>
        <w:rPr>
          <w:color w:val="auto"/>
        </w:rPr>
        <w:instrText xml:space="preserve"> HYPERLINK \l "_Toc19535_WPSOffice_Level2" </w:instrText>
      </w:r>
      <w:r>
        <w:rPr>
          <w:color w:val="auto"/>
        </w:rPr>
        <w:fldChar w:fldCharType="separate"/>
      </w:r>
      <w:r>
        <w:rPr>
          <w:rFonts w:hint="eastAsia" w:ascii="仿宋" w:hAnsi="仿宋" w:eastAsia="仿宋" w:cs="仿宋"/>
          <w:bCs/>
          <w:color w:val="auto"/>
          <w:sz w:val="32"/>
          <w:szCs w:val="32"/>
        </w:rPr>
        <w:t>五、一般公共预算财政拨款支出决算情况说明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5</w:t>
      </w:r>
    </w:p>
    <w:p>
      <w:pPr>
        <w:pStyle w:val="16"/>
        <w:tabs>
          <w:tab w:val="right" w:leader="dot" w:pos="8306"/>
        </w:tabs>
        <w:spacing w:line="578" w:lineRule="exact"/>
        <w:ind w:leftChars="0"/>
        <w:rPr>
          <w:rFonts w:ascii="仿宋" w:hAnsi="仿宋" w:eastAsia="仿宋" w:cs="仿宋"/>
          <w:color w:val="auto"/>
          <w:sz w:val="32"/>
          <w:szCs w:val="32"/>
        </w:rPr>
      </w:pPr>
      <w:r>
        <w:rPr>
          <w:color w:val="auto"/>
        </w:rPr>
        <w:fldChar w:fldCharType="begin"/>
      </w:r>
      <w:r>
        <w:rPr>
          <w:color w:val="auto"/>
        </w:rPr>
        <w:instrText xml:space="preserve"> HYPERLINK \l "_Toc19535_WPSOffice_Level2" </w:instrText>
      </w:r>
      <w:r>
        <w:rPr>
          <w:color w:val="auto"/>
        </w:rPr>
        <w:fldChar w:fldCharType="separate"/>
      </w:r>
      <w:r>
        <w:rPr>
          <w:rFonts w:hint="eastAsia" w:ascii="仿宋" w:hAnsi="仿宋" w:eastAsia="仿宋" w:cs="仿宋"/>
          <w:bCs/>
          <w:color w:val="auto"/>
          <w:sz w:val="32"/>
          <w:szCs w:val="32"/>
        </w:rPr>
        <w:t>六、一般公共预算财政拨款基本支出决算情况说明</w:t>
      </w:r>
      <w:r>
        <w:rPr>
          <w:rFonts w:hint="eastAsia" w:ascii="仿宋" w:hAnsi="仿宋" w:eastAsia="仿宋" w:cs="仿宋"/>
          <w:bCs/>
          <w:color w:val="auto"/>
          <w:sz w:val="32"/>
          <w:szCs w:val="32"/>
        </w:rPr>
        <w:fldChar w:fldCharType="end"/>
      </w:r>
      <w:r>
        <w:rPr>
          <w:rFonts w:hint="eastAsia" w:ascii="仿宋" w:hAnsi="仿宋" w:eastAsia="仿宋" w:cs="仿宋"/>
          <w:color w:val="auto"/>
          <w:sz w:val="32"/>
          <w:szCs w:val="32"/>
        </w:rPr>
        <w:tab/>
      </w:r>
      <w:r>
        <w:rPr>
          <w:rFonts w:hint="eastAsia" w:ascii="仿宋" w:hAnsi="仿宋" w:eastAsia="仿宋" w:cs="仿宋"/>
          <w:color w:val="auto"/>
          <w:sz w:val="32"/>
          <w:szCs w:val="32"/>
        </w:rPr>
        <w:t>6</w:t>
      </w:r>
    </w:p>
    <w:p>
      <w:pPr>
        <w:pStyle w:val="16"/>
        <w:numPr>
          <w:ilvl w:val="0"/>
          <w:numId w:val="1"/>
        </w:numPr>
        <w:tabs>
          <w:tab w:val="right" w:leader="dot" w:pos="8306"/>
        </w:tabs>
        <w:spacing w:line="578" w:lineRule="exact"/>
        <w:ind w:leftChars="0"/>
        <w:rPr>
          <w:rFonts w:ascii="仿宋" w:hAnsi="仿宋" w:eastAsia="仿宋" w:cs="仿宋"/>
          <w:color w:val="auto"/>
          <w:sz w:val="32"/>
          <w:szCs w:val="32"/>
        </w:rPr>
      </w:pPr>
      <w:r>
        <w:rPr>
          <w:rFonts w:hint="eastAsia" w:ascii="仿宋" w:hAnsi="仿宋" w:eastAsia="仿宋" w:cs="仿宋"/>
          <w:bCs/>
          <w:color w:val="auto"/>
          <w:sz w:val="32"/>
          <w:szCs w:val="32"/>
        </w:rPr>
        <w:t>政府性基金预算财政拨款支出决算情况说明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7</w:t>
      </w:r>
    </w:p>
    <w:p>
      <w:pPr>
        <w:pStyle w:val="16"/>
        <w:numPr>
          <w:ilvl w:val="0"/>
          <w:numId w:val="1"/>
        </w:numPr>
        <w:tabs>
          <w:tab w:val="right" w:leader="dot" w:pos="8306"/>
        </w:tabs>
        <w:spacing w:line="578" w:lineRule="exact"/>
        <w:ind w:leftChars="0"/>
        <w:rPr>
          <w:rFonts w:ascii="仿宋" w:hAnsi="仿宋" w:eastAsia="仿宋" w:cs="仿宋"/>
          <w:color w:val="auto"/>
          <w:sz w:val="32"/>
          <w:szCs w:val="32"/>
        </w:rPr>
      </w:pPr>
      <w:r>
        <w:rPr>
          <w:rFonts w:hint="eastAsia" w:ascii="仿宋" w:hAnsi="仿宋" w:eastAsia="仿宋" w:cs="仿宋"/>
          <w:bCs/>
          <w:color w:val="auto"/>
          <w:sz w:val="32"/>
          <w:szCs w:val="32"/>
        </w:rPr>
        <w:t>国有资本经营预算财政拨款支出决算情况说明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8</w:t>
      </w:r>
    </w:p>
    <w:p>
      <w:pPr>
        <w:pStyle w:val="16"/>
        <w:tabs>
          <w:tab w:val="right" w:leader="dot" w:pos="8306"/>
        </w:tabs>
        <w:spacing w:line="578" w:lineRule="exact"/>
        <w:ind w:leftChars="0"/>
        <w:rPr>
          <w:rFonts w:ascii="仿宋" w:hAnsi="仿宋" w:eastAsia="仿宋" w:cs="仿宋"/>
          <w:color w:val="auto"/>
          <w:sz w:val="32"/>
          <w:szCs w:val="32"/>
        </w:rPr>
      </w:pPr>
      <w:r>
        <w:rPr>
          <w:color w:val="auto"/>
        </w:rPr>
        <w:fldChar w:fldCharType="begin"/>
      </w:r>
      <w:r>
        <w:rPr>
          <w:color w:val="auto"/>
        </w:rPr>
        <w:instrText xml:space="preserve"> HYPERLINK \l "_Toc19535_WPSOffice_Level2" </w:instrText>
      </w:r>
      <w:r>
        <w:rPr>
          <w:color w:val="auto"/>
        </w:rPr>
        <w:fldChar w:fldCharType="separate"/>
      </w:r>
      <w:r>
        <w:rPr>
          <w:rFonts w:hint="eastAsia" w:ascii="仿宋" w:hAnsi="仿宋" w:eastAsia="仿宋" w:cs="仿宋"/>
          <w:bCs/>
          <w:color w:val="auto"/>
          <w:sz w:val="32"/>
          <w:szCs w:val="32"/>
        </w:rPr>
        <w:t>九、财政拨款“三公”经费支出决算情况说明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9</w:t>
      </w:r>
    </w:p>
    <w:p>
      <w:pPr>
        <w:pStyle w:val="16"/>
        <w:tabs>
          <w:tab w:val="right" w:leader="dot" w:pos="8306"/>
        </w:tabs>
        <w:spacing w:line="578" w:lineRule="exact"/>
        <w:ind w:leftChars="0"/>
        <w:rPr>
          <w:rFonts w:ascii="仿宋" w:hAnsi="仿宋" w:eastAsia="仿宋" w:cs="仿宋"/>
          <w:color w:val="auto"/>
          <w:sz w:val="32"/>
          <w:szCs w:val="32"/>
        </w:rPr>
      </w:pPr>
      <w:r>
        <w:rPr>
          <w:color w:val="auto"/>
        </w:rPr>
        <w:fldChar w:fldCharType="begin"/>
      </w:r>
      <w:r>
        <w:rPr>
          <w:color w:val="auto"/>
        </w:rPr>
        <w:instrText xml:space="preserve"> HYPERLINK \l "_Toc19535_WPSOffice_Level2" </w:instrText>
      </w:r>
      <w:r>
        <w:rPr>
          <w:color w:val="auto"/>
        </w:rPr>
        <w:fldChar w:fldCharType="separate"/>
      </w:r>
      <w:r>
        <w:rPr>
          <w:rFonts w:hint="eastAsia" w:ascii="仿宋" w:hAnsi="仿宋" w:eastAsia="仿宋" w:cs="仿宋"/>
          <w:bCs/>
          <w:color w:val="auto"/>
          <w:sz w:val="32"/>
          <w:szCs w:val="32"/>
        </w:rPr>
        <w:t>十、预算绩效情况说明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11</w:t>
      </w:r>
    </w:p>
    <w:p>
      <w:pPr>
        <w:pStyle w:val="16"/>
        <w:tabs>
          <w:tab w:val="right" w:leader="dot" w:pos="8306"/>
        </w:tabs>
        <w:spacing w:line="578" w:lineRule="exact"/>
        <w:ind w:leftChars="0"/>
        <w:rPr>
          <w:rFonts w:ascii="仿宋" w:hAnsi="仿宋" w:eastAsia="仿宋" w:cs="仿宋"/>
          <w:color w:val="auto"/>
          <w:sz w:val="32"/>
          <w:szCs w:val="32"/>
        </w:rPr>
      </w:pPr>
      <w:r>
        <w:rPr>
          <w:rFonts w:hint="eastAsia" w:ascii="仿宋" w:hAnsi="仿宋" w:eastAsia="仿宋" w:cs="仿宋"/>
          <w:bCs/>
          <w:color w:val="auto"/>
          <w:sz w:val="32"/>
          <w:szCs w:val="32"/>
        </w:rPr>
        <w:t>十一、其他重要事项情况说明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13</w:t>
      </w:r>
    </w:p>
    <w:p>
      <w:pPr>
        <w:pStyle w:val="15"/>
        <w:tabs>
          <w:tab w:val="right" w:leader="dot" w:pos="8306"/>
        </w:tabs>
        <w:spacing w:line="578" w:lineRule="exact"/>
        <w:rPr>
          <w:rFonts w:ascii="黑体" w:hAnsi="ˎ̥"/>
          <w:b/>
          <w:color w:val="auto"/>
          <w:sz w:val="32"/>
          <w:szCs w:val="32"/>
        </w:rPr>
      </w:pPr>
      <w:r>
        <w:rPr>
          <w:color w:val="auto"/>
        </w:rPr>
        <w:fldChar w:fldCharType="begin"/>
      </w:r>
      <w:r>
        <w:rPr>
          <w:color w:val="auto"/>
        </w:rPr>
        <w:instrText xml:space="preserve"> HYPERLINK \l "_Toc15425_WPSOffice_Level1" </w:instrText>
      </w:r>
      <w:r>
        <w:rPr>
          <w:color w:val="auto"/>
        </w:rPr>
        <w:fldChar w:fldCharType="separate"/>
      </w:r>
      <w:r>
        <w:rPr>
          <w:rFonts w:hint="eastAsia" w:ascii="黑体" w:hAnsi="ˎ̥" w:eastAsia="黑体"/>
          <w:color w:val="auto"/>
          <w:sz w:val="32"/>
          <w:szCs w:val="32"/>
        </w:rPr>
        <w:t>第四部分  名词解释</w:t>
      </w:r>
      <w:r>
        <w:rPr>
          <w:color w:val="auto"/>
          <w:sz w:val="32"/>
          <w:szCs w:val="32"/>
        </w:rPr>
        <w:tab/>
      </w:r>
      <w:bookmarkStart w:id="1" w:name="_Toc15425_WPSOffice_Level1Page"/>
      <w:r>
        <w:rPr>
          <w:color w:val="auto"/>
          <w:sz w:val="32"/>
          <w:szCs w:val="32"/>
        </w:rPr>
        <w:t>1</w:t>
      </w:r>
      <w:bookmarkEnd w:id="1"/>
      <w:r>
        <w:rPr>
          <w:color w:val="auto"/>
          <w:sz w:val="32"/>
          <w:szCs w:val="32"/>
        </w:rPr>
        <w:fldChar w:fldCharType="end"/>
      </w:r>
      <w:bookmarkEnd w:id="0"/>
      <w:r>
        <w:rPr>
          <w:rFonts w:hint="eastAsia"/>
          <w:color w:val="auto"/>
          <w:sz w:val="32"/>
          <w:szCs w:val="32"/>
        </w:rPr>
        <w:t>5</w:t>
      </w:r>
    </w:p>
    <w:p>
      <w:pPr>
        <w:spacing w:line="578" w:lineRule="exact"/>
        <w:rPr>
          <w:rFonts w:ascii="黑体" w:hAnsi="ˎ̥" w:eastAsia="黑体"/>
          <w:color w:val="auto"/>
          <w:sz w:val="32"/>
          <w:szCs w:val="32"/>
        </w:rPr>
      </w:pPr>
      <w:bookmarkStart w:id="2" w:name="_Toc23465_WPSOffice_Level1"/>
      <w:bookmarkStart w:id="3" w:name="_Toc10720_WPSOffice_Level1"/>
      <w:bookmarkStart w:id="4" w:name="_Toc32433_WPSOffice_Level1"/>
      <w:bookmarkStart w:id="5" w:name="_Toc1704_WPSOffice_Level1"/>
      <w:bookmarkStart w:id="6" w:name="_Toc10049_WPSOffice_Level1"/>
      <w:bookmarkStart w:id="7" w:name="_Toc22941_WPSOffice_Level1"/>
      <w:bookmarkStart w:id="8" w:name="_Toc24238_WPSOffice_Level2"/>
      <w:bookmarkStart w:id="9" w:name="_Toc20205_WPSOffice_Level2"/>
      <w:bookmarkStart w:id="10" w:name="_Toc20274_WPSOffice_Level2"/>
      <w:bookmarkStart w:id="11" w:name="_Toc26580_WPSOffice_Level2"/>
      <w:bookmarkStart w:id="12" w:name="_Toc32622_WPSOffice_Level2"/>
      <w:bookmarkStart w:id="13" w:name="_Toc14159_WPSOffice_Level2"/>
    </w:p>
    <w:p>
      <w:pPr>
        <w:spacing w:line="578" w:lineRule="exact"/>
        <w:jc w:val="center"/>
        <w:rPr>
          <w:rFonts w:ascii="黑体" w:hAnsi="ˎ̥" w:eastAsia="黑体"/>
          <w:color w:val="auto"/>
          <w:sz w:val="32"/>
          <w:szCs w:val="32"/>
        </w:rPr>
      </w:pPr>
    </w:p>
    <w:p>
      <w:pPr>
        <w:spacing w:line="578" w:lineRule="exact"/>
        <w:jc w:val="center"/>
        <w:rPr>
          <w:rFonts w:ascii="黑体" w:hAnsi="ˎ̥" w:eastAsia="黑体"/>
          <w:color w:val="auto"/>
          <w:sz w:val="32"/>
          <w:szCs w:val="32"/>
        </w:rPr>
      </w:pPr>
      <w:r>
        <w:rPr>
          <w:rFonts w:hint="eastAsia" w:ascii="黑体" w:hAnsi="ˎ̥" w:eastAsia="黑体"/>
          <w:color w:val="auto"/>
          <w:sz w:val="32"/>
          <w:szCs w:val="32"/>
        </w:rPr>
        <w:t xml:space="preserve">第一部分  </w:t>
      </w:r>
      <w:bookmarkEnd w:id="2"/>
      <w:bookmarkEnd w:id="3"/>
      <w:bookmarkEnd w:id="4"/>
      <w:bookmarkEnd w:id="5"/>
      <w:bookmarkEnd w:id="6"/>
      <w:bookmarkEnd w:id="7"/>
      <w:r>
        <w:rPr>
          <w:rFonts w:hint="eastAsia" w:ascii="黑体" w:hAnsi="ˎ̥" w:eastAsia="黑体"/>
          <w:color w:val="auto"/>
          <w:sz w:val="32"/>
          <w:szCs w:val="32"/>
        </w:rPr>
        <w:t>基本情况</w:t>
      </w:r>
    </w:p>
    <w:p>
      <w:pPr>
        <w:spacing w:line="578" w:lineRule="exact"/>
        <w:ind w:firstLine="640" w:firstLineChars="200"/>
        <w:rPr>
          <w:rFonts w:ascii="楷体" w:hAnsi="楷体" w:eastAsia="楷体" w:cs="楷体"/>
          <w:color w:val="auto"/>
          <w:sz w:val="32"/>
          <w:szCs w:val="32"/>
        </w:rPr>
      </w:pPr>
    </w:p>
    <w:p>
      <w:pPr>
        <w:pStyle w:val="18"/>
        <w:numPr>
          <w:ilvl w:val="0"/>
          <w:numId w:val="2"/>
        </w:numPr>
        <w:spacing w:line="578" w:lineRule="exact"/>
        <w:ind w:firstLineChars="0"/>
        <w:rPr>
          <w:rFonts w:ascii="黑体" w:hAnsi="黑体" w:eastAsia="黑体" w:cs="黑体"/>
          <w:color w:val="auto"/>
          <w:sz w:val="32"/>
          <w:szCs w:val="32"/>
        </w:rPr>
      </w:pPr>
      <w:r>
        <w:rPr>
          <w:rFonts w:hint="eastAsia" w:ascii="黑体" w:hAnsi="黑体" w:eastAsia="黑体" w:cs="黑体"/>
          <w:color w:val="auto"/>
          <w:sz w:val="32"/>
          <w:szCs w:val="32"/>
        </w:rPr>
        <w:t>部门</w:t>
      </w:r>
      <w:bookmarkEnd w:id="8"/>
      <w:r>
        <w:rPr>
          <w:rFonts w:hint="eastAsia" w:ascii="黑体" w:hAnsi="黑体" w:eastAsia="黑体" w:cs="黑体"/>
          <w:color w:val="auto"/>
          <w:sz w:val="32"/>
          <w:szCs w:val="32"/>
        </w:rPr>
        <w:t>（单位）职责</w:t>
      </w:r>
      <w:bookmarkEnd w:id="9"/>
      <w:bookmarkEnd w:id="10"/>
      <w:bookmarkEnd w:id="11"/>
      <w:bookmarkEnd w:id="12"/>
      <w:bookmarkEnd w:id="13"/>
    </w:p>
    <w:p>
      <w:pPr>
        <w:snapToGrid w:val="0"/>
        <w:spacing w:line="52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lang w:val="en-US" w:eastAsia="zh-CN"/>
        </w:rPr>
        <w:t>1.</w:t>
      </w:r>
      <w:r>
        <w:rPr>
          <w:rFonts w:hint="eastAsia" w:ascii="仿宋_GB2312" w:hAnsi="仿宋" w:eastAsia="仿宋_GB2312"/>
          <w:color w:val="auto"/>
          <w:sz w:val="32"/>
          <w:szCs w:val="32"/>
        </w:rPr>
        <w:t>根据党的基本理论、基本路线、基本纲领和工运方针，围绕县委、政府中心工作，组织和指导全县各级工会坚定不移地贯彻落实党的全心全意依靠工人阶级的根本指导方针；贯彻执行县工会全县代表大会、全委会和常委会确定的方针、任务和作出的决议。</w:t>
      </w:r>
    </w:p>
    <w:p>
      <w:pPr>
        <w:snapToGrid w:val="0"/>
        <w:spacing w:line="52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依照法律和《中国工会章程》， 制定全县工会工作的指导意见和任务，进一步突出和履行维权服务职能。</w:t>
      </w:r>
    </w:p>
    <w:p>
      <w:pPr>
        <w:snapToGrid w:val="0"/>
        <w:spacing w:line="52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lang w:val="en-US" w:eastAsia="zh-CN"/>
        </w:rPr>
        <w:t>3.</w:t>
      </w:r>
      <w:r>
        <w:rPr>
          <w:rFonts w:hint="eastAsia" w:ascii="仿宋_GB2312" w:hAnsi="仿宋" w:eastAsia="仿宋_GB2312"/>
          <w:color w:val="auto"/>
          <w:sz w:val="32"/>
          <w:szCs w:val="32"/>
        </w:rPr>
        <w:t>对有关职工合法权益的重大问题进行调查研究，向县委、政府反映职工群众思想、愿望和诉求，提出意见和建议；参与涉及职工切身利益的政策、措施和制度的起草、修订，参与职工重大伤亡事故的调查处理。</w:t>
      </w:r>
    </w:p>
    <w:p>
      <w:pPr>
        <w:snapToGrid w:val="0"/>
        <w:spacing w:line="52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负责工运理论政策研究；指导全县各级工会组织开展以职工代表大会为基本制度的民主选举、民主决策、民主管理和民主监督，推动建立平等协商、集体合同制度和监督保证机制。</w:t>
      </w:r>
    </w:p>
    <w:p>
      <w:pPr>
        <w:snapToGrid w:val="0"/>
        <w:spacing w:line="52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rPr>
        <w:t>加强工会组织对劳动关系领域社会组织的政治引领、示范带动和联系服务；构建以精准帮扶为重点的服务职工体系，建立健全工会系统服务职工网络载体。</w:t>
      </w:r>
    </w:p>
    <w:p>
      <w:pPr>
        <w:snapToGrid w:val="0"/>
        <w:spacing w:line="52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 xml:space="preserve">助县委、政府做好自治区、市劳模的推荐、评选，负责我县全国劳模、自治区劳模和市劳模的管理服务工作；负责我县全国、自治区“五一”劳动奖和工人先锋号的推荐、管理工作，协助开展林芝“五一”劳动奖和工人先锋号的评选表彰、管理工作。 </w:t>
      </w:r>
    </w:p>
    <w:p>
      <w:pPr>
        <w:snapToGrid w:val="0"/>
        <w:spacing w:line="52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lang w:val="en-US" w:eastAsia="zh-CN"/>
        </w:rPr>
        <w:t>7.</w:t>
      </w:r>
      <w:r>
        <w:rPr>
          <w:rFonts w:hint="eastAsia" w:ascii="仿宋_GB2312" w:hAnsi="仿宋" w:eastAsia="仿宋_GB2312"/>
          <w:color w:val="auto"/>
          <w:sz w:val="32"/>
          <w:szCs w:val="32"/>
        </w:rPr>
        <w:t>指导全县各级工会自身改革和建设，研究产业工会的设立和管理；负责工会组织和干部队伍建设，组织开展工会干部培训工作。</w:t>
      </w:r>
    </w:p>
    <w:p>
      <w:pPr>
        <w:snapToGrid w:val="0"/>
        <w:spacing w:line="52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lang w:val="en-US" w:eastAsia="zh-CN"/>
        </w:rPr>
        <w:t>8.</w:t>
      </w:r>
      <w:r>
        <w:rPr>
          <w:rFonts w:hint="eastAsia" w:ascii="仿宋_GB2312" w:hAnsi="仿宋" w:eastAsia="仿宋_GB2312"/>
          <w:color w:val="auto"/>
          <w:sz w:val="32"/>
          <w:szCs w:val="32"/>
        </w:rPr>
        <w:t>负责全县工会经费和工会资产的管理、审查、审计工作，指导协调工会兴办的职工劳动福利事业。</w:t>
      </w:r>
    </w:p>
    <w:p>
      <w:pPr>
        <w:snapToGrid w:val="0"/>
        <w:spacing w:line="52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lang w:val="en-US" w:eastAsia="zh-CN"/>
        </w:rPr>
        <w:t>9.</w:t>
      </w:r>
      <w:r>
        <w:rPr>
          <w:rFonts w:hint="eastAsia" w:ascii="仿宋_GB2312" w:hAnsi="仿宋" w:eastAsia="仿宋_GB2312"/>
          <w:color w:val="auto"/>
          <w:sz w:val="32"/>
          <w:szCs w:val="32"/>
        </w:rPr>
        <w:t>负责工会有关的交流工作。</w:t>
      </w:r>
    </w:p>
    <w:p>
      <w:pPr>
        <w:snapToGrid w:val="0"/>
        <w:spacing w:line="520" w:lineRule="exact"/>
        <w:ind w:firstLine="640" w:firstLineChars="200"/>
        <w:rPr>
          <w:rFonts w:ascii="黑体" w:hAnsi="黑体" w:eastAsia="黑体" w:cs="黑体"/>
          <w:color w:val="auto"/>
          <w:sz w:val="32"/>
          <w:szCs w:val="32"/>
        </w:rPr>
      </w:pPr>
      <w:r>
        <w:rPr>
          <w:rFonts w:hint="eastAsia" w:ascii="仿宋_GB2312" w:hAnsi="仿宋" w:eastAsia="仿宋_GB2312"/>
          <w:color w:val="auto"/>
          <w:sz w:val="32"/>
          <w:szCs w:val="32"/>
          <w:lang w:val="en-US" w:eastAsia="zh-CN"/>
        </w:rPr>
        <w:t>10.</w:t>
      </w:r>
      <w:r>
        <w:rPr>
          <w:rFonts w:hint="eastAsia" w:ascii="仿宋_GB2312" w:hAnsi="仿宋" w:eastAsia="仿宋_GB2312"/>
          <w:color w:val="auto"/>
          <w:sz w:val="32"/>
          <w:szCs w:val="32"/>
        </w:rPr>
        <w:t>完成县委、</w:t>
      </w:r>
      <w:r>
        <w:rPr>
          <w:rFonts w:hint="eastAsia" w:ascii="仿宋_GB2312" w:hAnsi="仿宋" w:eastAsia="仿宋_GB2312"/>
          <w:color w:val="auto"/>
          <w:sz w:val="32"/>
          <w:szCs w:val="32"/>
          <w:lang w:eastAsia="zh-CN"/>
        </w:rPr>
        <w:t>县</w:t>
      </w:r>
      <w:r>
        <w:rPr>
          <w:rFonts w:hint="eastAsia" w:ascii="仿宋_GB2312" w:hAnsi="仿宋" w:eastAsia="仿宋_GB2312"/>
          <w:color w:val="auto"/>
          <w:sz w:val="32"/>
          <w:szCs w:val="32"/>
        </w:rPr>
        <w:t>政府和市总工会交办的其他任务。</w:t>
      </w:r>
    </w:p>
    <w:p>
      <w:pPr>
        <w:spacing w:line="578" w:lineRule="exact"/>
        <w:ind w:firstLine="640" w:firstLineChars="200"/>
        <w:rPr>
          <w:rFonts w:ascii="黑体" w:hAnsi="黑体" w:eastAsia="黑体" w:cs="黑体"/>
          <w:color w:val="auto"/>
          <w:sz w:val="32"/>
          <w:szCs w:val="32"/>
        </w:rPr>
      </w:pPr>
      <w:bookmarkStart w:id="14" w:name="_Toc17796_WPSOffice_Level2"/>
      <w:bookmarkStart w:id="15" w:name="_Toc24059_WPSOffice_Level2"/>
      <w:bookmarkStart w:id="16" w:name="_Toc4833_WPSOffice_Level2"/>
      <w:bookmarkStart w:id="17" w:name="_Toc24474_WPSOffice_Level2"/>
      <w:bookmarkStart w:id="18" w:name="_Toc6572_WPSOffice_Level2"/>
      <w:r>
        <w:rPr>
          <w:rFonts w:hint="eastAsia" w:ascii="黑体" w:hAnsi="黑体" w:eastAsia="黑体" w:cs="黑体"/>
          <w:color w:val="auto"/>
          <w:sz w:val="32"/>
          <w:szCs w:val="32"/>
        </w:rPr>
        <w:t>二、机构设置</w:t>
      </w:r>
      <w:bookmarkEnd w:id="14"/>
      <w:bookmarkEnd w:id="15"/>
      <w:bookmarkEnd w:id="16"/>
      <w:bookmarkEnd w:id="17"/>
      <w:bookmarkEnd w:id="18"/>
    </w:p>
    <w:p>
      <w:pPr>
        <w:snapToGrid w:val="0"/>
        <w:spacing w:line="520" w:lineRule="exact"/>
        <w:ind w:firstLine="640" w:firstLineChars="200"/>
        <w:rPr>
          <w:color w:val="auto"/>
        </w:rPr>
      </w:pPr>
      <w:bookmarkStart w:id="19" w:name="_Toc8164_WPSOffice_Level1"/>
      <w:bookmarkStart w:id="20" w:name="_Toc28253_WPSOffice_Level1"/>
      <w:bookmarkStart w:id="21" w:name="_Toc6234_WPSOffice_Level1"/>
      <w:bookmarkStart w:id="22" w:name="_Toc30690_WPSOffice_Level1"/>
      <w:bookmarkStart w:id="23" w:name="_Toc15521_WPSOffice_Level1"/>
      <w:bookmarkStart w:id="24" w:name="_Toc30451_WPSOffice_Level1"/>
      <w:bookmarkStart w:id="25" w:name="_Toc11518_WPSOffice_Level2"/>
      <w:bookmarkStart w:id="26" w:name="_Toc6211_WPSOffice_Level2"/>
      <w:bookmarkStart w:id="27" w:name="_Toc32472_WPSOffice_Level2"/>
      <w:bookmarkStart w:id="28" w:name="_Toc4029_WPSOffice_Level2"/>
      <w:bookmarkStart w:id="29" w:name="_Toc8867_WPSOffice_Level2"/>
      <w:bookmarkStart w:id="30" w:name="_Toc32695_WPSOffice_Level2"/>
      <w:r>
        <w:rPr>
          <w:rFonts w:hint="eastAsia" w:ascii="仿宋_GB2312" w:hAnsi="仿宋" w:eastAsia="仿宋_GB2312"/>
          <w:color w:val="auto"/>
          <w:sz w:val="32"/>
          <w:szCs w:val="32"/>
        </w:rPr>
        <w:t>墨脱县总工会有1个内设机构。</w:t>
      </w:r>
    </w:p>
    <w:p>
      <w:pPr>
        <w:spacing w:line="578" w:lineRule="exact"/>
        <w:ind w:firstLine="640" w:firstLineChars="200"/>
        <w:rPr>
          <w:rFonts w:ascii="黑体" w:hAnsi="ˎ̥" w:eastAsia="黑体"/>
          <w:color w:val="auto"/>
          <w:sz w:val="32"/>
          <w:szCs w:val="32"/>
        </w:rPr>
      </w:pPr>
    </w:p>
    <w:p>
      <w:pPr>
        <w:spacing w:line="578" w:lineRule="exact"/>
        <w:jc w:val="center"/>
        <w:rPr>
          <w:rFonts w:ascii="黑体" w:hAnsi="ˎ̥" w:eastAsia="黑体"/>
          <w:color w:val="auto"/>
          <w:sz w:val="32"/>
          <w:szCs w:val="32"/>
        </w:rPr>
      </w:pPr>
    </w:p>
    <w:p>
      <w:pPr>
        <w:spacing w:line="578" w:lineRule="exact"/>
        <w:jc w:val="center"/>
        <w:rPr>
          <w:rFonts w:ascii="黑体" w:hAnsi="ˎ̥" w:eastAsia="黑体"/>
          <w:color w:val="auto"/>
          <w:sz w:val="32"/>
          <w:szCs w:val="32"/>
        </w:rPr>
      </w:pPr>
    </w:p>
    <w:p>
      <w:pPr>
        <w:spacing w:line="578" w:lineRule="exact"/>
        <w:jc w:val="center"/>
        <w:rPr>
          <w:rFonts w:ascii="黑体" w:hAnsi="ˎ̥" w:eastAsia="黑体"/>
          <w:color w:val="auto"/>
          <w:sz w:val="32"/>
          <w:szCs w:val="32"/>
        </w:rPr>
      </w:pPr>
    </w:p>
    <w:p>
      <w:pPr>
        <w:spacing w:line="578" w:lineRule="exact"/>
        <w:jc w:val="center"/>
        <w:rPr>
          <w:rFonts w:ascii="黑体" w:hAnsi="ˎ̥" w:eastAsia="黑体"/>
          <w:color w:val="auto"/>
          <w:sz w:val="32"/>
          <w:szCs w:val="32"/>
        </w:rPr>
      </w:pPr>
    </w:p>
    <w:p>
      <w:pPr>
        <w:spacing w:line="578" w:lineRule="exact"/>
        <w:jc w:val="center"/>
        <w:rPr>
          <w:rFonts w:ascii="黑体" w:hAnsi="ˎ̥" w:eastAsia="黑体"/>
          <w:color w:val="auto"/>
          <w:sz w:val="32"/>
          <w:szCs w:val="32"/>
        </w:rPr>
      </w:pPr>
    </w:p>
    <w:p>
      <w:pPr>
        <w:spacing w:line="578" w:lineRule="exact"/>
        <w:jc w:val="center"/>
        <w:rPr>
          <w:rFonts w:ascii="黑体" w:hAnsi="ˎ̥" w:eastAsia="黑体"/>
          <w:color w:val="auto"/>
          <w:sz w:val="32"/>
          <w:szCs w:val="32"/>
        </w:rPr>
      </w:pPr>
    </w:p>
    <w:p>
      <w:pPr>
        <w:spacing w:line="578" w:lineRule="exact"/>
        <w:jc w:val="center"/>
        <w:rPr>
          <w:rFonts w:ascii="黑体" w:hAnsi="ˎ̥" w:eastAsia="黑体"/>
          <w:color w:val="auto"/>
          <w:sz w:val="32"/>
          <w:szCs w:val="32"/>
        </w:rPr>
      </w:pPr>
    </w:p>
    <w:p>
      <w:pPr>
        <w:spacing w:line="578" w:lineRule="exact"/>
        <w:jc w:val="center"/>
        <w:rPr>
          <w:rFonts w:ascii="黑体" w:hAnsi="ˎ̥" w:eastAsia="黑体"/>
          <w:color w:val="auto"/>
          <w:sz w:val="32"/>
          <w:szCs w:val="32"/>
        </w:rPr>
      </w:pPr>
    </w:p>
    <w:p>
      <w:pPr>
        <w:spacing w:line="578" w:lineRule="exact"/>
        <w:jc w:val="center"/>
        <w:rPr>
          <w:rFonts w:ascii="黑体" w:hAnsi="ˎ̥" w:eastAsia="黑体"/>
          <w:color w:val="auto"/>
          <w:sz w:val="32"/>
          <w:szCs w:val="32"/>
        </w:rPr>
      </w:pPr>
    </w:p>
    <w:p>
      <w:pPr>
        <w:spacing w:line="578" w:lineRule="exact"/>
        <w:jc w:val="center"/>
        <w:rPr>
          <w:rFonts w:ascii="黑体" w:hAnsi="ˎ̥" w:eastAsia="黑体"/>
          <w:color w:val="auto"/>
          <w:sz w:val="32"/>
          <w:szCs w:val="32"/>
        </w:rPr>
      </w:pPr>
    </w:p>
    <w:p>
      <w:pPr>
        <w:spacing w:line="578" w:lineRule="exact"/>
        <w:jc w:val="center"/>
        <w:rPr>
          <w:rFonts w:ascii="黑体" w:hAnsi="ˎ̥" w:eastAsia="黑体"/>
          <w:color w:val="auto"/>
          <w:sz w:val="32"/>
          <w:szCs w:val="32"/>
        </w:rPr>
      </w:pPr>
    </w:p>
    <w:p>
      <w:pPr>
        <w:spacing w:line="578" w:lineRule="exact"/>
        <w:jc w:val="center"/>
        <w:rPr>
          <w:rFonts w:ascii="黑体" w:hAnsi="ˎ̥" w:eastAsia="黑体"/>
          <w:color w:val="auto"/>
          <w:sz w:val="32"/>
          <w:szCs w:val="32"/>
        </w:rPr>
      </w:pPr>
    </w:p>
    <w:p>
      <w:pPr>
        <w:spacing w:line="578" w:lineRule="exact"/>
        <w:jc w:val="center"/>
        <w:rPr>
          <w:rFonts w:ascii="黑体" w:hAnsi="ˎ̥" w:eastAsia="黑体"/>
          <w:color w:val="auto"/>
          <w:sz w:val="32"/>
          <w:szCs w:val="32"/>
        </w:rPr>
      </w:pPr>
      <w:r>
        <w:rPr>
          <w:rFonts w:hint="eastAsia" w:ascii="黑体" w:hAnsi="ˎ̥" w:eastAsia="黑体"/>
          <w:color w:val="auto"/>
          <w:sz w:val="32"/>
          <w:szCs w:val="32"/>
        </w:rPr>
        <w:t xml:space="preserve">第二部分  </w:t>
      </w:r>
      <w:r>
        <w:rPr>
          <w:rFonts w:ascii="黑体" w:hAnsi="ˎ̥" w:eastAsia="黑体"/>
          <w:color w:val="auto"/>
          <w:sz w:val="32"/>
          <w:szCs w:val="32"/>
        </w:rPr>
        <w:t>2024</w:t>
      </w:r>
      <w:r>
        <w:rPr>
          <w:rFonts w:hint="eastAsia" w:ascii="黑体" w:hAnsi="ˎ̥" w:eastAsia="黑体"/>
          <w:color w:val="auto"/>
          <w:sz w:val="32"/>
          <w:szCs w:val="32"/>
        </w:rPr>
        <w:t>年度部门决算公开报表</w:t>
      </w:r>
      <w:bookmarkEnd w:id="19"/>
      <w:bookmarkEnd w:id="20"/>
      <w:bookmarkEnd w:id="21"/>
      <w:bookmarkEnd w:id="22"/>
      <w:bookmarkEnd w:id="23"/>
      <w:bookmarkEnd w:id="24"/>
    </w:p>
    <w:p>
      <w:pPr>
        <w:spacing w:line="578" w:lineRule="exact"/>
        <w:ind w:firstLine="645"/>
        <w:rPr>
          <w:rFonts w:ascii="黑体" w:hAnsi="黑体" w:eastAsia="黑体" w:cs="黑体"/>
          <w:color w:val="auto"/>
          <w:sz w:val="32"/>
          <w:szCs w:val="32"/>
        </w:rPr>
      </w:pPr>
    </w:p>
    <w:p>
      <w:pPr>
        <w:spacing w:line="578" w:lineRule="exact"/>
        <w:ind w:firstLine="645"/>
        <w:rPr>
          <w:rFonts w:ascii="黑体" w:hAnsi="黑体" w:eastAsia="黑体" w:cs="黑体"/>
          <w:color w:val="auto"/>
          <w:sz w:val="32"/>
          <w:szCs w:val="32"/>
        </w:rPr>
      </w:pPr>
      <w:r>
        <w:rPr>
          <w:rFonts w:hint="eastAsia" w:ascii="黑体" w:hAnsi="黑体" w:eastAsia="黑体" w:cs="黑体"/>
          <w:color w:val="auto"/>
          <w:sz w:val="32"/>
          <w:szCs w:val="32"/>
        </w:rPr>
        <w:t>一、收入支出决算公开表</w:t>
      </w:r>
      <w:bookmarkEnd w:id="25"/>
      <w:bookmarkEnd w:id="26"/>
      <w:bookmarkEnd w:id="27"/>
      <w:bookmarkEnd w:id="28"/>
      <w:bookmarkEnd w:id="29"/>
      <w:bookmarkEnd w:id="30"/>
    </w:p>
    <w:p>
      <w:pPr>
        <w:spacing w:line="578" w:lineRule="exact"/>
        <w:ind w:firstLine="645"/>
        <w:rPr>
          <w:rFonts w:ascii="黑体" w:hAnsi="黑体" w:eastAsia="黑体" w:cs="黑体"/>
          <w:color w:val="auto"/>
          <w:sz w:val="32"/>
          <w:szCs w:val="32"/>
        </w:rPr>
      </w:pPr>
      <w:bookmarkStart w:id="31" w:name="_Toc28622_WPSOffice_Level2"/>
      <w:bookmarkStart w:id="32" w:name="_Toc14349_WPSOffice_Level2"/>
      <w:bookmarkStart w:id="33" w:name="_Toc30334_WPSOffice_Level2"/>
      <w:bookmarkStart w:id="34" w:name="_Toc26621_WPSOffice_Level2"/>
      <w:bookmarkStart w:id="35" w:name="_Toc25608_WPSOffice_Level2"/>
      <w:bookmarkStart w:id="36" w:name="_Toc23139_WPSOffice_Level2"/>
      <w:r>
        <w:rPr>
          <w:rFonts w:hint="eastAsia" w:ascii="黑体" w:hAnsi="黑体" w:eastAsia="黑体" w:cs="黑体"/>
          <w:color w:val="auto"/>
          <w:sz w:val="32"/>
          <w:szCs w:val="32"/>
        </w:rPr>
        <w:t>二、收入决算公开表</w:t>
      </w:r>
      <w:bookmarkEnd w:id="31"/>
      <w:bookmarkEnd w:id="32"/>
      <w:bookmarkEnd w:id="33"/>
      <w:bookmarkEnd w:id="34"/>
      <w:bookmarkEnd w:id="35"/>
      <w:bookmarkEnd w:id="36"/>
      <w:bookmarkStart w:id="37" w:name="_Toc3262_WPSOffice_Level2"/>
      <w:bookmarkStart w:id="38" w:name="_Toc17626_WPSOffice_Level2"/>
      <w:bookmarkStart w:id="39" w:name="_Toc5489_WPSOffice_Level2"/>
      <w:bookmarkStart w:id="40" w:name="_Toc17858_WPSOffice_Level2"/>
      <w:bookmarkStart w:id="41" w:name="_Toc14658_WPSOffice_Level2"/>
      <w:bookmarkStart w:id="42" w:name="_Toc13854_WPSOffice_Level2"/>
    </w:p>
    <w:p>
      <w:pPr>
        <w:spacing w:line="578" w:lineRule="exact"/>
        <w:ind w:firstLine="645"/>
        <w:rPr>
          <w:rFonts w:ascii="黑体" w:hAnsi="黑体" w:eastAsia="黑体" w:cs="黑体"/>
          <w:color w:val="auto"/>
          <w:sz w:val="32"/>
          <w:szCs w:val="32"/>
        </w:rPr>
      </w:pPr>
      <w:r>
        <w:rPr>
          <w:rFonts w:hint="eastAsia" w:ascii="黑体" w:hAnsi="黑体" w:eastAsia="黑体" w:cs="黑体"/>
          <w:color w:val="auto"/>
          <w:sz w:val="32"/>
          <w:szCs w:val="32"/>
        </w:rPr>
        <w:t>三、支出决算公开表</w:t>
      </w:r>
      <w:bookmarkEnd w:id="37"/>
      <w:bookmarkEnd w:id="38"/>
      <w:bookmarkEnd w:id="39"/>
      <w:bookmarkEnd w:id="40"/>
      <w:bookmarkEnd w:id="41"/>
      <w:bookmarkEnd w:id="42"/>
      <w:bookmarkStart w:id="43" w:name="_Toc13701_WPSOffice_Level2"/>
      <w:bookmarkStart w:id="44" w:name="_Toc23493_WPSOffice_Level2"/>
      <w:bookmarkStart w:id="45" w:name="_Toc21415_WPSOffice_Level2"/>
      <w:bookmarkStart w:id="46" w:name="_Toc4265_WPSOffice_Level2"/>
      <w:bookmarkStart w:id="47" w:name="_Toc23591_WPSOffice_Level2"/>
      <w:bookmarkStart w:id="48" w:name="_Toc7988_WPSOffice_Level2"/>
    </w:p>
    <w:p>
      <w:pPr>
        <w:spacing w:line="578" w:lineRule="exact"/>
        <w:ind w:firstLine="645"/>
        <w:rPr>
          <w:rFonts w:ascii="黑体" w:hAnsi="黑体" w:eastAsia="黑体" w:cs="黑体"/>
          <w:color w:val="auto"/>
          <w:sz w:val="32"/>
          <w:szCs w:val="32"/>
        </w:rPr>
      </w:pPr>
      <w:r>
        <w:rPr>
          <w:rFonts w:hint="eastAsia" w:ascii="黑体" w:hAnsi="黑体" w:eastAsia="黑体" w:cs="黑体"/>
          <w:color w:val="auto"/>
          <w:sz w:val="32"/>
          <w:szCs w:val="32"/>
        </w:rPr>
        <w:t>四、财政拨款收入支出决算公开表</w:t>
      </w:r>
      <w:bookmarkEnd w:id="43"/>
      <w:bookmarkEnd w:id="44"/>
      <w:bookmarkEnd w:id="45"/>
      <w:bookmarkEnd w:id="46"/>
      <w:bookmarkEnd w:id="47"/>
      <w:bookmarkEnd w:id="48"/>
    </w:p>
    <w:p>
      <w:pPr>
        <w:spacing w:line="578" w:lineRule="exact"/>
        <w:ind w:firstLine="645"/>
        <w:rPr>
          <w:rFonts w:ascii="黑体" w:hAnsi="黑体" w:eastAsia="黑体" w:cs="黑体"/>
          <w:color w:val="auto"/>
          <w:sz w:val="32"/>
          <w:szCs w:val="32"/>
        </w:rPr>
      </w:pPr>
      <w:bookmarkStart w:id="49" w:name="_Toc22783_WPSOffice_Level2"/>
      <w:bookmarkStart w:id="50" w:name="_Toc7879_WPSOffice_Level2"/>
      <w:bookmarkStart w:id="51" w:name="_Toc25166_WPSOffice_Level2"/>
      <w:bookmarkStart w:id="52" w:name="_Toc23829_WPSOffice_Level2"/>
      <w:bookmarkStart w:id="53" w:name="_Toc13516_WPSOffice_Level2"/>
      <w:bookmarkStart w:id="54" w:name="_Toc2158_WPSOffice_Level2"/>
      <w:r>
        <w:rPr>
          <w:rFonts w:hint="eastAsia" w:ascii="黑体" w:hAnsi="黑体" w:eastAsia="黑体" w:cs="黑体"/>
          <w:color w:val="auto"/>
          <w:sz w:val="32"/>
          <w:szCs w:val="32"/>
        </w:rPr>
        <w:t>五、一般公共预算财政拨款收入支出决算</w:t>
      </w:r>
      <w:bookmarkEnd w:id="49"/>
      <w:bookmarkEnd w:id="50"/>
      <w:bookmarkEnd w:id="51"/>
      <w:bookmarkEnd w:id="52"/>
      <w:r>
        <w:rPr>
          <w:rFonts w:hint="eastAsia" w:ascii="黑体" w:hAnsi="黑体" w:eastAsia="黑体" w:cs="黑体"/>
          <w:color w:val="auto"/>
          <w:sz w:val="32"/>
          <w:szCs w:val="32"/>
        </w:rPr>
        <w:t>公开表</w:t>
      </w:r>
      <w:bookmarkEnd w:id="53"/>
      <w:bookmarkEnd w:id="54"/>
      <w:bookmarkStart w:id="55" w:name="_Toc25362_WPSOffice_Level2"/>
      <w:bookmarkStart w:id="56" w:name="_Toc5343_WPSOffice_Level2"/>
      <w:bookmarkStart w:id="57" w:name="_Toc17283_WPSOffice_Level2"/>
      <w:bookmarkStart w:id="58" w:name="_Toc2632_WPSOffice_Level2"/>
      <w:bookmarkStart w:id="59" w:name="_Toc8373_WPSOffice_Level2"/>
      <w:bookmarkStart w:id="60" w:name="_Toc17833_WPSOffice_Level2"/>
    </w:p>
    <w:p>
      <w:pPr>
        <w:spacing w:line="578" w:lineRule="exact"/>
        <w:ind w:firstLine="645"/>
        <w:rPr>
          <w:rFonts w:ascii="黑体" w:hAnsi="黑体" w:eastAsia="黑体" w:cs="黑体"/>
          <w:color w:val="auto"/>
          <w:sz w:val="32"/>
          <w:szCs w:val="32"/>
        </w:rPr>
      </w:pPr>
      <w:r>
        <w:rPr>
          <w:rFonts w:hint="eastAsia" w:ascii="黑体" w:hAnsi="黑体" w:eastAsia="黑体" w:cs="黑体"/>
          <w:color w:val="auto"/>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color w:val="auto"/>
          <w:sz w:val="32"/>
          <w:szCs w:val="32"/>
        </w:rPr>
        <w:t>公开表</w:t>
      </w:r>
    </w:p>
    <w:p>
      <w:pPr>
        <w:spacing w:line="578" w:lineRule="exact"/>
        <w:ind w:left="1118" w:leftChars="304" w:hanging="480" w:hangingChars="150"/>
        <w:rPr>
          <w:rFonts w:ascii="黑体" w:hAnsi="黑体" w:eastAsia="黑体" w:cs="黑体"/>
          <w:color w:val="auto"/>
          <w:sz w:val="32"/>
          <w:szCs w:val="32"/>
        </w:rPr>
      </w:pPr>
      <w:bookmarkStart w:id="61" w:name="_Toc13345_WPSOffice_Level2"/>
      <w:bookmarkStart w:id="62" w:name="_Toc11799_WPSOffice_Level2"/>
      <w:bookmarkStart w:id="63" w:name="_Toc21310_WPSOffice_Level2"/>
      <w:bookmarkStart w:id="64" w:name="_Toc5594_WPSOffice_Level2"/>
      <w:bookmarkStart w:id="65" w:name="_Toc1533_WPSOffice_Level2"/>
      <w:bookmarkStart w:id="66" w:name="_Toc6020_WPSOffice_Level2"/>
      <w:r>
        <w:rPr>
          <w:rFonts w:hint="eastAsia" w:ascii="黑体" w:hAnsi="黑体" w:eastAsia="黑体" w:cs="黑体"/>
          <w:color w:val="auto"/>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color w:val="auto"/>
          <w:sz w:val="32"/>
          <w:szCs w:val="32"/>
        </w:rPr>
        <w:t>公开表</w:t>
      </w:r>
    </w:p>
    <w:p>
      <w:pPr>
        <w:spacing w:line="578" w:lineRule="exact"/>
        <w:ind w:left="1118" w:leftChars="304" w:hanging="480" w:hangingChars="150"/>
        <w:rPr>
          <w:rFonts w:ascii="黑体" w:hAnsi="黑体" w:eastAsia="黑体" w:cs="黑体"/>
          <w:color w:val="auto"/>
          <w:sz w:val="32"/>
          <w:szCs w:val="32"/>
        </w:rPr>
      </w:pPr>
      <w:r>
        <w:rPr>
          <w:rFonts w:hint="eastAsia" w:ascii="黑体" w:hAnsi="黑体" w:eastAsia="黑体" w:cs="黑体"/>
          <w:color w:val="auto"/>
          <w:sz w:val="32"/>
          <w:szCs w:val="32"/>
        </w:rPr>
        <w:t>八、国有资本经营预算财政拨款收入支出决算公开表</w:t>
      </w:r>
    </w:p>
    <w:p>
      <w:pPr>
        <w:spacing w:line="578" w:lineRule="exact"/>
        <w:ind w:firstLine="640"/>
        <w:rPr>
          <w:rFonts w:ascii="黑体" w:hAnsi="黑体" w:eastAsia="黑体" w:cs="黑体"/>
          <w:color w:val="auto"/>
          <w:sz w:val="32"/>
          <w:szCs w:val="32"/>
        </w:rPr>
      </w:pPr>
      <w:bookmarkStart w:id="67" w:name="_Toc29886_WPSOffice_Level2"/>
      <w:bookmarkStart w:id="68" w:name="_Toc1820_WPSOffice_Level2"/>
      <w:bookmarkStart w:id="69" w:name="_Toc9377_WPSOffice_Level2"/>
      <w:bookmarkStart w:id="70" w:name="_Toc19961_WPSOffice_Level2"/>
      <w:r>
        <w:rPr>
          <w:rFonts w:hint="eastAsia" w:ascii="黑体" w:hAnsi="黑体" w:eastAsia="黑体" w:cs="黑体"/>
          <w:color w:val="auto"/>
          <w:sz w:val="32"/>
          <w:szCs w:val="32"/>
        </w:rPr>
        <w:t>九、财政拨款“三公”经费支出决算</w:t>
      </w:r>
      <w:bookmarkEnd w:id="67"/>
      <w:bookmarkEnd w:id="68"/>
      <w:bookmarkEnd w:id="69"/>
      <w:bookmarkEnd w:id="70"/>
      <w:r>
        <w:rPr>
          <w:rFonts w:hint="eastAsia" w:ascii="黑体" w:hAnsi="黑体" w:eastAsia="黑体" w:cs="黑体"/>
          <w:color w:val="auto"/>
          <w:sz w:val="32"/>
          <w:szCs w:val="32"/>
        </w:rPr>
        <w:t>公开表</w:t>
      </w:r>
    </w:p>
    <w:p>
      <w:pPr>
        <w:spacing w:line="578" w:lineRule="exact"/>
        <w:ind w:firstLine="640"/>
        <w:rPr>
          <w:rFonts w:ascii="仿宋" w:hAnsi="仿宋" w:eastAsia="仿宋" w:cs="仿宋"/>
          <w:color w:val="auto"/>
          <w:sz w:val="32"/>
          <w:szCs w:val="32"/>
        </w:rPr>
      </w:pPr>
      <w:r>
        <w:rPr>
          <w:rFonts w:hint="eastAsia" w:ascii="仿宋" w:hAnsi="仿宋" w:eastAsia="仿宋" w:cs="仿宋"/>
          <w:color w:val="auto"/>
          <w:sz w:val="32"/>
          <w:szCs w:val="32"/>
        </w:rPr>
        <w:t>以上报表见附件1。</w:t>
      </w:r>
    </w:p>
    <w:p>
      <w:pPr>
        <w:spacing w:line="578" w:lineRule="exact"/>
        <w:rPr>
          <w:rFonts w:ascii="黑体" w:hAnsi="黑体" w:eastAsia="黑体" w:cs="黑体"/>
          <w:color w:val="auto"/>
          <w:sz w:val="32"/>
          <w:szCs w:val="32"/>
        </w:rPr>
      </w:pPr>
    </w:p>
    <w:p>
      <w:pPr>
        <w:spacing w:line="578" w:lineRule="exact"/>
        <w:jc w:val="center"/>
        <w:rPr>
          <w:rFonts w:ascii="黑体" w:hAnsi="ˎ̥" w:eastAsia="黑体"/>
          <w:color w:val="auto"/>
          <w:sz w:val="32"/>
          <w:szCs w:val="32"/>
        </w:rPr>
      </w:pPr>
      <w:bookmarkStart w:id="71" w:name="_Toc31264_WPSOffice_Level1"/>
      <w:bookmarkStart w:id="72" w:name="_Toc28629_WPSOffice_Level1"/>
      <w:bookmarkStart w:id="73" w:name="_Toc4402_WPSOffice_Level1"/>
      <w:bookmarkStart w:id="74" w:name="_Toc16686_WPSOffice_Level1"/>
      <w:bookmarkStart w:id="75" w:name="_Toc27590_WPSOffice_Level1"/>
      <w:bookmarkStart w:id="76" w:name="_Toc29683_WPSOffice_Level1"/>
    </w:p>
    <w:p>
      <w:pPr>
        <w:spacing w:line="578" w:lineRule="exact"/>
        <w:jc w:val="center"/>
        <w:rPr>
          <w:rFonts w:ascii="黑体" w:hAnsi="ˎ̥" w:eastAsia="黑体"/>
          <w:color w:val="auto"/>
          <w:sz w:val="32"/>
          <w:szCs w:val="32"/>
        </w:rPr>
      </w:pPr>
    </w:p>
    <w:p>
      <w:pPr>
        <w:spacing w:line="578" w:lineRule="exact"/>
        <w:jc w:val="center"/>
        <w:rPr>
          <w:rFonts w:ascii="黑体" w:hAnsi="ˎ̥" w:eastAsia="黑体"/>
          <w:color w:val="auto"/>
          <w:sz w:val="32"/>
          <w:szCs w:val="32"/>
        </w:rPr>
      </w:pPr>
    </w:p>
    <w:p>
      <w:pPr>
        <w:spacing w:line="578" w:lineRule="exact"/>
        <w:jc w:val="center"/>
        <w:rPr>
          <w:rFonts w:ascii="黑体" w:hAnsi="ˎ̥" w:eastAsia="黑体"/>
          <w:color w:val="auto"/>
          <w:sz w:val="32"/>
          <w:szCs w:val="32"/>
        </w:rPr>
      </w:pPr>
    </w:p>
    <w:p>
      <w:pPr>
        <w:spacing w:line="578" w:lineRule="exact"/>
        <w:jc w:val="center"/>
        <w:rPr>
          <w:rFonts w:ascii="黑体" w:hAnsi="ˎ̥" w:eastAsia="黑体"/>
          <w:color w:val="auto"/>
          <w:sz w:val="32"/>
          <w:szCs w:val="32"/>
        </w:rPr>
      </w:pPr>
    </w:p>
    <w:p>
      <w:pPr>
        <w:spacing w:line="578" w:lineRule="exact"/>
        <w:jc w:val="center"/>
        <w:rPr>
          <w:rFonts w:ascii="黑体" w:hAnsi="ˎ̥" w:eastAsia="黑体"/>
          <w:color w:val="auto"/>
          <w:sz w:val="32"/>
          <w:szCs w:val="32"/>
        </w:rPr>
      </w:pPr>
    </w:p>
    <w:p>
      <w:pPr>
        <w:spacing w:line="578" w:lineRule="exact"/>
        <w:jc w:val="center"/>
        <w:rPr>
          <w:rFonts w:ascii="黑体" w:hAnsi="ˎ̥" w:eastAsia="黑体"/>
          <w:color w:val="auto"/>
          <w:sz w:val="32"/>
          <w:szCs w:val="32"/>
        </w:rPr>
      </w:pPr>
    </w:p>
    <w:p>
      <w:pPr>
        <w:spacing w:line="578" w:lineRule="exact"/>
        <w:jc w:val="center"/>
        <w:rPr>
          <w:rFonts w:ascii="黑体" w:hAnsi="ˎ̥" w:eastAsia="黑体"/>
          <w:color w:val="auto"/>
          <w:sz w:val="32"/>
          <w:szCs w:val="32"/>
        </w:rPr>
      </w:pPr>
    </w:p>
    <w:p>
      <w:pPr>
        <w:spacing w:line="578" w:lineRule="exact"/>
        <w:jc w:val="both"/>
        <w:rPr>
          <w:rFonts w:ascii="黑体" w:hAnsi="ˎ̥" w:eastAsia="黑体"/>
          <w:color w:val="auto"/>
          <w:sz w:val="32"/>
          <w:szCs w:val="32"/>
        </w:rPr>
      </w:pPr>
    </w:p>
    <w:p>
      <w:pPr>
        <w:spacing w:line="578" w:lineRule="exact"/>
        <w:jc w:val="center"/>
        <w:rPr>
          <w:rFonts w:ascii="黑体" w:hAnsi="ˎ̥" w:eastAsia="黑体"/>
          <w:color w:val="auto"/>
          <w:sz w:val="32"/>
          <w:szCs w:val="32"/>
        </w:rPr>
      </w:pPr>
      <w:r>
        <w:rPr>
          <w:rFonts w:hint="eastAsia" w:ascii="黑体" w:hAnsi="ˎ̥" w:eastAsia="黑体"/>
          <w:color w:val="auto"/>
          <w:sz w:val="32"/>
          <w:szCs w:val="32"/>
        </w:rPr>
        <w:t xml:space="preserve">第三部分  </w:t>
      </w:r>
      <w:r>
        <w:rPr>
          <w:rFonts w:ascii="黑体" w:hAnsi="ˎ̥" w:eastAsia="黑体"/>
          <w:color w:val="auto"/>
          <w:sz w:val="32"/>
          <w:szCs w:val="32"/>
        </w:rPr>
        <w:t>2024</w:t>
      </w:r>
      <w:r>
        <w:rPr>
          <w:rFonts w:hint="eastAsia" w:ascii="黑体" w:hAnsi="ˎ̥" w:eastAsia="黑体"/>
          <w:color w:val="auto"/>
          <w:sz w:val="32"/>
          <w:szCs w:val="32"/>
        </w:rPr>
        <w:t>年度部门决算情况说明</w:t>
      </w:r>
      <w:bookmarkEnd w:id="71"/>
      <w:bookmarkEnd w:id="72"/>
      <w:bookmarkEnd w:id="73"/>
      <w:bookmarkEnd w:id="74"/>
      <w:bookmarkEnd w:id="75"/>
      <w:bookmarkEnd w:id="76"/>
    </w:p>
    <w:p>
      <w:pPr>
        <w:spacing w:line="578" w:lineRule="exact"/>
        <w:jc w:val="center"/>
        <w:rPr>
          <w:rFonts w:ascii="黑体" w:hAnsi="ˎ̥" w:eastAsia="黑体"/>
          <w:color w:val="auto"/>
          <w:sz w:val="32"/>
          <w:szCs w:val="32"/>
        </w:rPr>
      </w:pPr>
    </w:p>
    <w:p>
      <w:pPr>
        <w:pStyle w:val="18"/>
        <w:numPr>
          <w:ilvl w:val="0"/>
          <w:numId w:val="2"/>
        </w:numPr>
        <w:spacing w:line="578" w:lineRule="exact"/>
        <w:ind w:firstLineChars="0"/>
        <w:rPr>
          <w:rFonts w:ascii="黑体" w:hAnsi="黑体" w:eastAsia="黑体" w:cs="黑体"/>
          <w:bCs/>
          <w:color w:val="auto"/>
          <w:sz w:val="32"/>
          <w:szCs w:val="32"/>
        </w:rPr>
      </w:pPr>
      <w:r>
        <w:rPr>
          <w:rFonts w:hint="eastAsia" w:ascii="黑体" w:hAnsi="黑体" w:eastAsia="黑体" w:cs="黑体"/>
          <w:bCs/>
          <w:color w:val="auto"/>
          <w:sz w:val="32"/>
          <w:szCs w:val="32"/>
        </w:rPr>
        <w:t>收入支出总体情况说明</w:t>
      </w:r>
    </w:p>
    <w:p>
      <w:pPr>
        <w:spacing w:line="578" w:lineRule="exact"/>
        <w:ind w:firstLine="640" w:firstLineChars="200"/>
        <w:rPr>
          <w:rFonts w:ascii="仿宋_GB2312" w:hAnsi="ˎ̥" w:eastAsia="仿宋_GB2312"/>
          <w:color w:val="auto"/>
          <w:sz w:val="32"/>
          <w:szCs w:val="32"/>
        </w:rPr>
      </w:pPr>
      <w:r>
        <w:rPr>
          <w:rFonts w:ascii="仿宋_GB2312" w:hAnsi="ˎ̥" w:eastAsia="仿宋_GB2312"/>
          <w:color w:val="auto"/>
          <w:sz w:val="32"/>
          <w:szCs w:val="32"/>
        </w:rPr>
        <w:t>2024</w:t>
      </w:r>
      <w:r>
        <w:rPr>
          <w:rFonts w:hint="eastAsia" w:ascii="仿宋_GB2312" w:hAnsi="ˎ̥" w:eastAsia="仿宋_GB2312"/>
          <w:color w:val="auto"/>
          <w:sz w:val="32"/>
          <w:szCs w:val="32"/>
        </w:rPr>
        <w:t>年度收入总计</w:t>
      </w:r>
      <w:r>
        <w:rPr>
          <w:rFonts w:ascii="仿宋_GB2312" w:hAnsi="ˎ̥" w:eastAsia="仿宋_GB2312"/>
          <w:color w:val="auto"/>
          <w:sz w:val="32"/>
          <w:szCs w:val="32"/>
        </w:rPr>
        <w:t>167.90</w:t>
      </w:r>
      <w:r>
        <w:rPr>
          <w:rFonts w:hint="eastAsia" w:ascii="仿宋_GB2312" w:hAnsi="ˎ̥" w:eastAsia="仿宋_GB2312"/>
          <w:color w:val="auto"/>
          <w:sz w:val="32"/>
          <w:szCs w:val="32"/>
        </w:rPr>
        <w:t>万元，支出总计</w:t>
      </w:r>
      <w:r>
        <w:rPr>
          <w:rFonts w:ascii="仿宋_GB2312" w:hAnsi="ˎ̥" w:eastAsia="仿宋_GB2312"/>
          <w:color w:val="auto"/>
          <w:sz w:val="32"/>
          <w:szCs w:val="32"/>
        </w:rPr>
        <w:t>167.90</w:t>
      </w:r>
      <w:r>
        <w:rPr>
          <w:rFonts w:hint="eastAsia" w:ascii="仿宋_GB2312" w:hAnsi="ˎ̥" w:eastAsia="仿宋_GB2312"/>
          <w:color w:val="auto"/>
          <w:sz w:val="32"/>
          <w:szCs w:val="32"/>
        </w:rPr>
        <w:t>万元，与</w:t>
      </w:r>
      <w:r>
        <w:rPr>
          <w:rFonts w:ascii="仿宋_GB2312" w:hAnsi="ˎ̥" w:eastAsia="仿宋_GB2312"/>
          <w:color w:val="auto"/>
          <w:sz w:val="32"/>
          <w:szCs w:val="32"/>
        </w:rPr>
        <w:t>2023</w:t>
      </w:r>
      <w:r>
        <w:rPr>
          <w:rFonts w:hint="eastAsia" w:ascii="仿宋_GB2312" w:hAnsi="ˎ̥" w:eastAsia="仿宋_GB2312"/>
          <w:color w:val="auto"/>
          <w:sz w:val="32"/>
          <w:szCs w:val="32"/>
        </w:rPr>
        <w:t>年度相比，收入、支出总计各减少11.84万元，下降6.59%。主要原因是人员变动导致的卫生健康保障与住房保障支出减少。</w:t>
      </w:r>
    </w:p>
    <w:p>
      <w:pPr>
        <w:spacing w:line="578" w:lineRule="exact"/>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收入167.90</w:t>
      </w:r>
      <w:r>
        <w:rPr>
          <w:rFonts w:hint="eastAsia" w:ascii="仿宋_GB2312" w:hAnsi="ˎ̥" w:eastAsia="仿宋_GB2312"/>
          <w:color w:val="auto"/>
          <w:sz w:val="32"/>
          <w:szCs w:val="32"/>
        </w:rPr>
        <w:t>万元。</w:t>
      </w:r>
    </w:p>
    <w:p>
      <w:pPr>
        <w:spacing w:line="578" w:lineRule="exact"/>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本年支出</w:t>
      </w:r>
      <w:r>
        <w:rPr>
          <w:rFonts w:ascii="仿宋_GB2312" w:hAnsi="ˎ̥" w:eastAsia="仿宋_GB2312"/>
          <w:color w:val="auto"/>
          <w:sz w:val="32"/>
          <w:szCs w:val="32"/>
        </w:rPr>
        <w:t>167.90</w:t>
      </w:r>
      <w:r>
        <w:rPr>
          <w:rFonts w:hint="eastAsia" w:ascii="仿宋_GB2312" w:hAnsi="ˎ̥" w:eastAsia="仿宋_GB2312"/>
          <w:color w:val="auto"/>
          <w:sz w:val="32"/>
          <w:szCs w:val="32"/>
        </w:rPr>
        <w:t>万元。</w:t>
      </w:r>
    </w:p>
    <w:p>
      <w:pPr>
        <w:spacing w:line="578" w:lineRule="exac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rPr>
        <w:t>二、收入决算情况说明</w:t>
      </w:r>
    </w:p>
    <w:p>
      <w:pPr>
        <w:spacing w:line="578" w:lineRule="exact"/>
        <w:ind w:firstLine="640" w:firstLineChars="200"/>
        <w:rPr>
          <w:rFonts w:ascii="仿宋_GB2312" w:hAnsi="ˎ̥" w:eastAsia="仿宋_GB2312"/>
          <w:color w:val="auto"/>
          <w:sz w:val="32"/>
          <w:szCs w:val="32"/>
        </w:rPr>
      </w:pPr>
      <w:bookmarkStart w:id="119" w:name="_GoBack"/>
      <w:bookmarkEnd w:id="119"/>
      <w:r>
        <w:rPr>
          <w:rFonts w:hint="eastAsia" w:ascii="仿宋_GB2312" w:hAnsi="ˎ̥" w:eastAsia="仿宋_GB2312"/>
          <w:color w:val="auto"/>
          <w:sz w:val="32"/>
          <w:szCs w:val="32"/>
        </w:rPr>
        <w:t>本年收入</w:t>
      </w:r>
      <w:r>
        <w:rPr>
          <w:rFonts w:ascii="仿宋_GB2312" w:hAnsi="ˎ̥" w:eastAsia="仿宋_GB2312"/>
          <w:color w:val="auto"/>
          <w:sz w:val="32"/>
          <w:szCs w:val="32"/>
        </w:rPr>
        <w:t>167.90</w:t>
      </w:r>
      <w:r>
        <w:rPr>
          <w:rFonts w:hint="eastAsia" w:ascii="仿宋_GB2312" w:hAnsi="ˎ̥" w:eastAsia="仿宋_GB2312"/>
          <w:color w:val="auto"/>
          <w:sz w:val="32"/>
          <w:szCs w:val="32"/>
        </w:rPr>
        <w:t>万元，其中：财政拨款收入</w:t>
      </w:r>
      <w:r>
        <w:rPr>
          <w:rFonts w:ascii="仿宋_GB2312" w:hAnsi="ˎ̥" w:eastAsia="仿宋_GB2312"/>
          <w:color w:val="auto"/>
          <w:sz w:val="32"/>
          <w:szCs w:val="32"/>
        </w:rPr>
        <w:t>167.90</w:t>
      </w:r>
      <w:r>
        <w:rPr>
          <w:rFonts w:hint="eastAsia" w:ascii="仿宋_GB2312" w:hAnsi="ˎ̥" w:eastAsia="仿宋_GB2312"/>
          <w:color w:val="auto"/>
          <w:sz w:val="32"/>
          <w:szCs w:val="32"/>
        </w:rPr>
        <w:t>万元，占100%。</w:t>
      </w:r>
    </w:p>
    <w:p>
      <w:pPr>
        <w:spacing w:line="578" w:lineRule="exact"/>
        <w:ind w:firstLine="627" w:firstLineChars="196"/>
        <w:rPr>
          <w:rFonts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本年支出</w:t>
      </w:r>
      <w:r>
        <w:rPr>
          <w:rFonts w:ascii="仿宋_GB2312" w:hAnsi="ˎ̥" w:eastAsia="仿宋_GB2312"/>
          <w:color w:val="auto"/>
          <w:sz w:val="32"/>
          <w:szCs w:val="32"/>
        </w:rPr>
        <w:t>167.90</w:t>
      </w:r>
      <w:r>
        <w:rPr>
          <w:rFonts w:hint="eastAsia" w:ascii="仿宋_GB2312" w:hAnsi="ˎ̥" w:eastAsia="仿宋_GB2312"/>
          <w:color w:val="auto"/>
          <w:sz w:val="32"/>
          <w:szCs w:val="32"/>
        </w:rPr>
        <w:t>万元，其中：基本支出</w:t>
      </w:r>
      <w:r>
        <w:rPr>
          <w:rFonts w:ascii="仿宋_GB2312" w:hAnsi="ˎ̥" w:eastAsia="仿宋_GB2312"/>
          <w:color w:val="auto"/>
          <w:sz w:val="32"/>
          <w:szCs w:val="32"/>
        </w:rPr>
        <w:t>84.2</w:t>
      </w:r>
      <w:r>
        <w:rPr>
          <w:rFonts w:hint="eastAsia" w:ascii="仿宋_GB2312" w:hAnsi="ˎ̥" w:eastAsia="仿宋_GB2312"/>
          <w:color w:val="auto"/>
          <w:sz w:val="32"/>
          <w:szCs w:val="32"/>
        </w:rPr>
        <w:t>2万元，占50.17%；项目支出</w:t>
      </w:r>
      <w:r>
        <w:rPr>
          <w:rFonts w:ascii="仿宋_GB2312" w:hAnsi="ˎ̥" w:eastAsia="仿宋_GB2312"/>
          <w:color w:val="auto"/>
          <w:sz w:val="32"/>
          <w:szCs w:val="32"/>
        </w:rPr>
        <w:t>83.68</w:t>
      </w:r>
      <w:r>
        <w:rPr>
          <w:rFonts w:hint="eastAsia" w:ascii="仿宋_GB2312" w:hAnsi="ˎ̥" w:eastAsia="仿宋_GB2312"/>
          <w:color w:val="auto"/>
          <w:sz w:val="32"/>
          <w:szCs w:val="32"/>
        </w:rPr>
        <w:t>万元，占49.83%。</w:t>
      </w:r>
    </w:p>
    <w:p>
      <w:pPr>
        <w:spacing w:line="578" w:lineRule="exact"/>
        <w:ind w:firstLine="627" w:firstLineChars="196"/>
        <w:rPr>
          <w:rFonts w:ascii="黑体" w:hAnsi="黑体" w:eastAsia="黑体" w:cs="黑体"/>
          <w:bCs/>
          <w:color w:val="auto"/>
          <w:sz w:val="32"/>
          <w:szCs w:val="32"/>
        </w:rPr>
      </w:pPr>
      <w:r>
        <w:rPr>
          <w:rFonts w:hint="eastAsia" w:ascii="黑体" w:hAnsi="黑体" w:eastAsia="黑体" w:cs="黑体"/>
          <w:bCs/>
          <w:color w:val="auto"/>
          <w:sz w:val="32"/>
          <w:szCs w:val="32"/>
        </w:rPr>
        <w:t>四、财政拨款收入支出决算总体情况说明</w:t>
      </w:r>
    </w:p>
    <w:p>
      <w:pPr>
        <w:spacing w:line="578" w:lineRule="exact"/>
        <w:ind w:firstLine="640" w:firstLineChars="200"/>
        <w:rPr>
          <w:rFonts w:ascii="仿宋_GB2312" w:hAnsi="ˎ̥" w:eastAsia="仿宋_GB2312"/>
          <w:color w:val="auto"/>
          <w:sz w:val="32"/>
          <w:szCs w:val="32"/>
        </w:rPr>
      </w:pPr>
      <w:r>
        <w:rPr>
          <w:rFonts w:ascii="仿宋_GB2312" w:hAnsi="ˎ̥" w:eastAsia="仿宋_GB2312"/>
          <w:color w:val="auto"/>
          <w:sz w:val="32"/>
          <w:szCs w:val="32"/>
        </w:rPr>
        <w:t>2024</w:t>
      </w:r>
      <w:r>
        <w:rPr>
          <w:rFonts w:hint="eastAsia" w:ascii="仿宋_GB2312" w:hAnsi="ˎ̥" w:eastAsia="仿宋_GB2312"/>
          <w:color w:val="auto"/>
          <w:sz w:val="32"/>
          <w:szCs w:val="32"/>
        </w:rPr>
        <w:t>年度财政拨款收入</w:t>
      </w:r>
      <w:r>
        <w:rPr>
          <w:rFonts w:ascii="仿宋_GB2312" w:hAnsi="ˎ̥" w:eastAsia="仿宋_GB2312"/>
          <w:color w:val="auto"/>
          <w:sz w:val="32"/>
          <w:szCs w:val="32"/>
        </w:rPr>
        <w:t>167.90</w:t>
      </w:r>
      <w:r>
        <w:rPr>
          <w:rFonts w:hint="eastAsia" w:ascii="仿宋_GB2312" w:hAnsi="ˎ̥" w:eastAsia="仿宋_GB2312"/>
          <w:color w:val="auto"/>
          <w:sz w:val="32"/>
          <w:szCs w:val="32"/>
        </w:rPr>
        <w:t>万元，支出</w:t>
      </w:r>
      <w:r>
        <w:rPr>
          <w:rFonts w:ascii="仿宋_GB2312" w:hAnsi="ˎ̥" w:eastAsia="仿宋_GB2312"/>
          <w:color w:val="auto"/>
          <w:sz w:val="32"/>
          <w:szCs w:val="32"/>
        </w:rPr>
        <w:t>167.90</w:t>
      </w:r>
      <w:r>
        <w:rPr>
          <w:rFonts w:hint="eastAsia" w:ascii="仿宋_GB2312" w:hAnsi="ˎ̥" w:eastAsia="仿宋_GB2312"/>
          <w:color w:val="auto"/>
          <w:sz w:val="32"/>
          <w:szCs w:val="32"/>
        </w:rPr>
        <w:t>万元。与</w:t>
      </w:r>
      <w:r>
        <w:rPr>
          <w:rFonts w:ascii="仿宋_GB2312" w:hAnsi="ˎ̥" w:eastAsia="仿宋_GB2312"/>
          <w:color w:val="auto"/>
          <w:sz w:val="32"/>
          <w:szCs w:val="32"/>
        </w:rPr>
        <w:t>2023</w:t>
      </w:r>
      <w:r>
        <w:rPr>
          <w:rFonts w:hint="eastAsia" w:ascii="仿宋_GB2312" w:hAnsi="ˎ̥" w:eastAsia="仿宋_GB2312"/>
          <w:color w:val="auto"/>
          <w:sz w:val="32"/>
          <w:szCs w:val="32"/>
        </w:rPr>
        <w:t>年度相比，财政拨款收入减少11.84万元，下降6.59%，主要原因是人员变动导致的卫生健康保障与住房保障支出减少。支出减少11.84万元，下降6.59%，主要原因是人员变动导致的卫生健康保障与住房保障支出减少。</w:t>
      </w:r>
    </w:p>
    <w:p>
      <w:pPr>
        <w:spacing w:line="578" w:lineRule="exact"/>
        <w:ind w:firstLine="627" w:firstLineChars="196"/>
        <w:rPr>
          <w:rFonts w:ascii="黑体" w:hAnsi="黑体" w:eastAsia="黑体" w:cs="黑体"/>
          <w:bCs/>
          <w:color w:val="auto"/>
          <w:sz w:val="32"/>
          <w:szCs w:val="32"/>
        </w:rPr>
      </w:pPr>
      <w:r>
        <w:rPr>
          <w:rFonts w:hint="eastAsia" w:ascii="黑体" w:hAnsi="黑体" w:eastAsia="黑体" w:cs="黑体"/>
          <w:bCs/>
          <w:color w:val="auto"/>
          <w:sz w:val="32"/>
          <w:szCs w:val="32"/>
        </w:rPr>
        <w:t>五、一般公共预算财政拨款支出决算情况说明</w:t>
      </w:r>
    </w:p>
    <w:p>
      <w:pPr>
        <w:spacing w:line="578" w:lineRule="exact"/>
        <w:ind w:firstLine="640" w:firstLineChars="200"/>
        <w:rPr>
          <w:rFonts w:ascii="楷体" w:hAnsi="楷体" w:eastAsia="楷体" w:cs="楷体"/>
          <w:color w:val="auto"/>
          <w:sz w:val="32"/>
          <w:szCs w:val="32"/>
        </w:rPr>
      </w:pPr>
      <w:bookmarkStart w:id="77" w:name="_Toc9989_WPSOffice_Level2"/>
      <w:bookmarkStart w:id="78" w:name="_Toc23005_WPSOffice_Level2"/>
      <w:bookmarkStart w:id="79" w:name="_Toc17398_WPSOffice_Level2"/>
      <w:bookmarkStart w:id="80" w:name="_Toc13694_WPSOffice_Level2"/>
      <w:bookmarkStart w:id="81" w:name="_Toc21737_WPSOffice_Level2"/>
      <w:bookmarkStart w:id="82" w:name="_Toc19665_WPSOffice_Level2"/>
      <w:r>
        <w:rPr>
          <w:rFonts w:hint="eastAsia" w:ascii="楷体" w:hAnsi="楷体" w:eastAsia="楷体" w:cs="楷体"/>
          <w:color w:val="auto"/>
          <w:sz w:val="32"/>
          <w:szCs w:val="32"/>
        </w:rPr>
        <w:t>（一）一般公共预算财政拨款支出决算总体情况</w:t>
      </w:r>
      <w:bookmarkEnd w:id="77"/>
      <w:bookmarkEnd w:id="78"/>
      <w:bookmarkEnd w:id="79"/>
      <w:bookmarkEnd w:id="80"/>
      <w:bookmarkEnd w:id="81"/>
      <w:bookmarkEnd w:id="82"/>
    </w:p>
    <w:p>
      <w:pPr>
        <w:spacing w:line="578" w:lineRule="exact"/>
        <w:ind w:firstLine="640" w:firstLineChars="200"/>
        <w:rPr>
          <w:rFonts w:ascii="仿宋_GB2312" w:hAnsi="ˎ̥" w:eastAsia="仿宋_GB2312"/>
          <w:color w:val="auto"/>
          <w:sz w:val="32"/>
          <w:szCs w:val="32"/>
        </w:rPr>
      </w:pPr>
      <w:r>
        <w:rPr>
          <w:rFonts w:ascii="仿宋_GB2312" w:hAnsi="ˎ̥" w:eastAsia="仿宋_GB2312"/>
          <w:color w:val="auto"/>
          <w:sz w:val="32"/>
          <w:szCs w:val="32"/>
        </w:rPr>
        <w:t>2024</w:t>
      </w:r>
      <w:r>
        <w:rPr>
          <w:rFonts w:hint="eastAsia" w:ascii="仿宋_GB2312" w:hAnsi="ˎ̥" w:eastAsia="仿宋_GB2312"/>
          <w:color w:val="auto"/>
          <w:sz w:val="32"/>
          <w:szCs w:val="32"/>
        </w:rPr>
        <w:t>年度一般公共预算财政拨款支出</w:t>
      </w:r>
      <w:r>
        <w:rPr>
          <w:rFonts w:ascii="仿宋_GB2312" w:hAnsi="ˎ̥" w:eastAsia="仿宋_GB2312"/>
          <w:color w:val="auto"/>
          <w:sz w:val="32"/>
          <w:szCs w:val="32"/>
        </w:rPr>
        <w:t>167.90</w:t>
      </w:r>
      <w:r>
        <w:rPr>
          <w:rFonts w:hint="eastAsia" w:ascii="仿宋_GB2312" w:hAnsi="ˎ̥" w:eastAsia="仿宋_GB2312"/>
          <w:color w:val="auto"/>
          <w:sz w:val="32"/>
          <w:szCs w:val="32"/>
        </w:rPr>
        <w:t>万元，占本年支出合计的100%。与</w:t>
      </w:r>
      <w:r>
        <w:rPr>
          <w:rFonts w:ascii="仿宋_GB2312" w:hAnsi="ˎ̥" w:eastAsia="仿宋_GB2312"/>
          <w:color w:val="auto"/>
          <w:sz w:val="32"/>
          <w:szCs w:val="32"/>
        </w:rPr>
        <w:t>2023</w:t>
      </w:r>
      <w:r>
        <w:rPr>
          <w:rFonts w:hint="eastAsia" w:ascii="仿宋_GB2312" w:hAnsi="ˎ̥" w:eastAsia="仿宋_GB2312"/>
          <w:color w:val="auto"/>
          <w:sz w:val="32"/>
          <w:szCs w:val="32"/>
        </w:rPr>
        <w:t>年度相比，一般公共预算财政拨款支出减少11.84万元，下降6.59%，主要原因是人员变动导致的卫生健康保障与住房保障支出减少。</w:t>
      </w:r>
    </w:p>
    <w:p>
      <w:pPr>
        <w:spacing w:line="578" w:lineRule="exact"/>
        <w:ind w:firstLine="640" w:firstLineChars="200"/>
        <w:rPr>
          <w:rFonts w:ascii="楷体" w:hAnsi="楷体" w:eastAsia="楷体" w:cs="楷体"/>
          <w:color w:val="auto"/>
          <w:sz w:val="32"/>
          <w:szCs w:val="32"/>
        </w:rPr>
      </w:pPr>
      <w:bookmarkStart w:id="83" w:name="_Toc18793_WPSOffice_Level2"/>
      <w:bookmarkStart w:id="84" w:name="_Toc27767_WPSOffice_Level2"/>
      <w:bookmarkStart w:id="85" w:name="_Toc19075_WPSOffice_Level2"/>
      <w:bookmarkStart w:id="86" w:name="_Toc2711_WPSOffice_Level2"/>
      <w:bookmarkStart w:id="87" w:name="_Toc23864_WPSOffice_Level2"/>
      <w:bookmarkStart w:id="88" w:name="_Toc19535_WPSOffice_Level2"/>
      <w:r>
        <w:rPr>
          <w:rFonts w:hint="eastAsia" w:ascii="楷体" w:hAnsi="楷体" w:eastAsia="楷体" w:cs="楷体"/>
          <w:color w:val="auto"/>
          <w:sz w:val="32"/>
          <w:szCs w:val="32"/>
        </w:rPr>
        <w:t>（二）一般公共预算财政拨款支出决算结构情况</w:t>
      </w:r>
      <w:bookmarkEnd w:id="83"/>
      <w:bookmarkEnd w:id="84"/>
      <w:bookmarkEnd w:id="85"/>
      <w:bookmarkEnd w:id="86"/>
      <w:bookmarkEnd w:id="87"/>
      <w:bookmarkEnd w:id="88"/>
    </w:p>
    <w:p>
      <w:pPr>
        <w:spacing w:line="578" w:lineRule="exact"/>
        <w:ind w:firstLine="640" w:firstLineChars="200"/>
        <w:rPr>
          <w:rFonts w:ascii="仿宋_GB2312" w:hAnsi="ˎ̥" w:eastAsia="仿宋_GB2312"/>
          <w:color w:val="auto"/>
          <w:sz w:val="32"/>
          <w:szCs w:val="32"/>
        </w:rPr>
      </w:pPr>
      <w:r>
        <w:rPr>
          <w:rFonts w:ascii="仿宋_GB2312" w:hAnsi="ˎ̥" w:eastAsia="仿宋_GB2312"/>
          <w:color w:val="auto"/>
          <w:sz w:val="32"/>
          <w:szCs w:val="32"/>
        </w:rPr>
        <w:t>2024</w:t>
      </w:r>
      <w:r>
        <w:rPr>
          <w:rFonts w:hint="eastAsia" w:ascii="仿宋_GB2312" w:hAnsi="ˎ̥" w:eastAsia="仿宋_GB2312"/>
          <w:color w:val="auto"/>
          <w:sz w:val="32"/>
          <w:szCs w:val="32"/>
        </w:rPr>
        <w:t>年度一般公共预算财政拨款支出</w:t>
      </w:r>
      <w:r>
        <w:rPr>
          <w:rFonts w:ascii="仿宋_GB2312" w:hAnsi="ˎ̥" w:eastAsia="仿宋_GB2312"/>
          <w:color w:val="auto"/>
          <w:sz w:val="32"/>
          <w:szCs w:val="32"/>
        </w:rPr>
        <w:t>167.90</w:t>
      </w:r>
      <w:r>
        <w:rPr>
          <w:rFonts w:hint="eastAsia" w:ascii="仿宋_GB2312" w:hAnsi="ˎ̥" w:eastAsia="仿宋_GB2312"/>
          <w:color w:val="auto"/>
          <w:sz w:val="32"/>
          <w:szCs w:val="32"/>
        </w:rPr>
        <w:t>万元，主要用于以下方面：</w:t>
      </w:r>
      <w:r>
        <w:rPr>
          <w:rFonts w:hint="eastAsia" w:ascii="仿宋_GB2312" w:hAnsi="ˎ̥" w:eastAsia="仿宋_GB2312"/>
          <w:b/>
          <w:color w:val="auto"/>
          <w:sz w:val="32"/>
          <w:szCs w:val="32"/>
        </w:rPr>
        <w:t>一般公共服务（类）</w:t>
      </w:r>
      <w:r>
        <w:rPr>
          <w:rFonts w:hint="eastAsia" w:ascii="仿宋_GB2312" w:hAnsi="ˎ̥" w:eastAsia="仿宋_GB2312"/>
          <w:color w:val="auto"/>
          <w:sz w:val="32"/>
          <w:szCs w:val="32"/>
        </w:rPr>
        <w:t>支出145.73万元，占86.8%；</w:t>
      </w:r>
      <w:r>
        <w:rPr>
          <w:rFonts w:hint="eastAsia" w:ascii="仿宋_GB2312" w:hAnsi="ˎ̥" w:eastAsia="仿宋_GB2312"/>
          <w:b/>
          <w:color w:val="auto"/>
          <w:sz w:val="32"/>
          <w:szCs w:val="32"/>
        </w:rPr>
        <w:t>社会保障和就业（类）</w:t>
      </w:r>
      <w:r>
        <w:rPr>
          <w:rFonts w:hint="eastAsia" w:ascii="仿宋_GB2312" w:hAnsi="ˎ̥" w:eastAsia="仿宋_GB2312"/>
          <w:color w:val="auto"/>
          <w:sz w:val="32"/>
          <w:szCs w:val="32"/>
        </w:rPr>
        <w:t>支出9.91万元，占5.9%；</w:t>
      </w:r>
      <w:r>
        <w:rPr>
          <w:rFonts w:hint="eastAsia" w:ascii="仿宋_GB2312" w:hAnsi="ˎ̥" w:eastAsia="仿宋_GB2312"/>
          <w:b/>
          <w:bCs/>
          <w:color w:val="auto"/>
          <w:sz w:val="32"/>
          <w:szCs w:val="32"/>
        </w:rPr>
        <w:t>卫生健康（类）</w:t>
      </w:r>
      <w:r>
        <w:rPr>
          <w:rFonts w:hint="eastAsia" w:ascii="仿宋_GB2312" w:hAnsi="ˎ̥" w:eastAsia="仿宋_GB2312"/>
          <w:color w:val="auto"/>
          <w:sz w:val="32"/>
          <w:szCs w:val="32"/>
        </w:rPr>
        <w:t>支出2.91万元，占1.73%；</w:t>
      </w:r>
      <w:r>
        <w:rPr>
          <w:rFonts w:hint="eastAsia" w:ascii="仿宋_GB2312" w:hAnsi="ˎ̥" w:eastAsia="仿宋_GB2312"/>
          <w:b/>
          <w:bCs/>
          <w:color w:val="auto"/>
          <w:sz w:val="32"/>
          <w:szCs w:val="32"/>
        </w:rPr>
        <w:t>住房保障（类）</w:t>
      </w:r>
      <w:r>
        <w:rPr>
          <w:rFonts w:hint="eastAsia" w:ascii="仿宋_GB2312" w:hAnsi="ˎ̥" w:eastAsia="仿宋_GB2312"/>
          <w:color w:val="auto"/>
          <w:sz w:val="32"/>
          <w:szCs w:val="32"/>
        </w:rPr>
        <w:t>支出9.35万元，占5.57%。</w:t>
      </w:r>
    </w:p>
    <w:p>
      <w:pPr>
        <w:spacing w:line="578" w:lineRule="exact"/>
        <w:ind w:firstLine="640" w:firstLineChars="200"/>
        <w:rPr>
          <w:rFonts w:ascii="楷体" w:hAnsi="楷体" w:eastAsia="楷体" w:cs="楷体"/>
          <w:color w:val="auto"/>
          <w:sz w:val="32"/>
          <w:szCs w:val="32"/>
        </w:rPr>
      </w:pPr>
      <w:bookmarkStart w:id="89" w:name="_Toc29364_WPSOffice_Level2"/>
      <w:bookmarkStart w:id="90" w:name="_Toc21701_WPSOffice_Level2"/>
      <w:bookmarkStart w:id="91" w:name="_Toc25136_WPSOffice_Level2"/>
      <w:bookmarkStart w:id="92" w:name="_Toc22318_WPSOffice_Level2"/>
      <w:bookmarkStart w:id="93" w:name="_Toc9502_WPSOffice_Level2"/>
      <w:bookmarkStart w:id="94" w:name="_Toc15415_WPSOffice_Level2"/>
      <w:r>
        <w:rPr>
          <w:rFonts w:hint="eastAsia" w:ascii="楷体" w:hAnsi="楷体" w:eastAsia="楷体" w:cs="楷体"/>
          <w:color w:val="auto"/>
          <w:sz w:val="32"/>
          <w:szCs w:val="32"/>
        </w:rPr>
        <w:t>（三）一般公共预算财政拨款支出决算具体情况</w:t>
      </w:r>
      <w:bookmarkEnd w:id="89"/>
      <w:bookmarkEnd w:id="90"/>
      <w:bookmarkEnd w:id="91"/>
      <w:bookmarkEnd w:id="92"/>
      <w:bookmarkEnd w:id="93"/>
      <w:bookmarkEnd w:id="94"/>
    </w:p>
    <w:p>
      <w:pPr>
        <w:spacing w:line="578" w:lineRule="exact"/>
        <w:ind w:firstLine="640" w:firstLineChars="200"/>
        <w:rPr>
          <w:rFonts w:ascii="仿宋_GB2312" w:hAnsi="ˎ̥" w:eastAsia="仿宋_GB2312"/>
          <w:color w:val="auto"/>
          <w:sz w:val="32"/>
          <w:szCs w:val="32"/>
        </w:rPr>
      </w:pPr>
      <w:r>
        <w:rPr>
          <w:rFonts w:ascii="仿宋_GB2312" w:hAnsi="ˎ̥" w:eastAsia="仿宋_GB2312"/>
          <w:color w:val="auto"/>
          <w:sz w:val="32"/>
          <w:szCs w:val="32"/>
        </w:rPr>
        <w:t>2024</w:t>
      </w:r>
      <w:r>
        <w:rPr>
          <w:rFonts w:hint="eastAsia" w:ascii="仿宋_GB2312" w:hAnsi="ˎ̥" w:eastAsia="仿宋_GB2312"/>
          <w:color w:val="auto"/>
          <w:sz w:val="32"/>
          <w:szCs w:val="32"/>
        </w:rPr>
        <w:t>年度一般公共预算财政拨款支出年初预算为167.90万元，支出决算为</w:t>
      </w:r>
      <w:r>
        <w:rPr>
          <w:rFonts w:ascii="仿宋_GB2312" w:hAnsi="ˎ̥" w:eastAsia="仿宋_GB2312"/>
          <w:color w:val="auto"/>
          <w:sz w:val="32"/>
          <w:szCs w:val="32"/>
        </w:rPr>
        <w:t>167.90</w:t>
      </w:r>
      <w:r>
        <w:rPr>
          <w:rFonts w:hint="eastAsia" w:ascii="仿宋_GB2312" w:hAnsi="ˎ̥" w:eastAsia="仿宋_GB2312"/>
          <w:color w:val="auto"/>
          <w:sz w:val="32"/>
          <w:szCs w:val="32"/>
        </w:rPr>
        <w:t>万元，完成年初预算的100%。其中：</w:t>
      </w:r>
    </w:p>
    <w:p>
      <w:pPr>
        <w:spacing w:line="578" w:lineRule="exact"/>
        <w:ind w:firstLine="642" w:firstLineChars="200"/>
        <w:rPr>
          <w:rFonts w:ascii="仿宋_GB2312" w:hAnsi="ˎ̥" w:eastAsia="仿宋_GB2312"/>
          <w:b/>
          <w:color w:val="auto"/>
          <w:sz w:val="32"/>
          <w:szCs w:val="32"/>
        </w:rPr>
      </w:pPr>
      <w:r>
        <w:rPr>
          <w:rFonts w:hint="eastAsia" w:ascii="仿宋_GB2312" w:hAnsi="ˎ̥" w:eastAsia="仿宋_GB2312"/>
          <w:b/>
          <w:bCs/>
          <w:color w:val="auto"/>
          <w:sz w:val="32"/>
          <w:szCs w:val="32"/>
        </w:rPr>
        <w:t>1.</w:t>
      </w:r>
      <w:r>
        <w:rPr>
          <w:rFonts w:hint="eastAsia" w:ascii="仿宋_GB2312" w:hAnsi="ˎ̥" w:eastAsia="仿宋_GB2312"/>
          <w:b/>
          <w:color w:val="auto"/>
          <w:sz w:val="32"/>
          <w:szCs w:val="32"/>
        </w:rPr>
        <w:t>一般公共服务（类）群众团体事务（款）行政运行（项）</w:t>
      </w:r>
      <w:r>
        <w:rPr>
          <w:rFonts w:hint="eastAsia" w:ascii="仿宋_GB2312" w:hAnsi="ˎ̥" w:eastAsia="仿宋_GB2312"/>
          <w:color w:val="auto"/>
          <w:sz w:val="32"/>
          <w:szCs w:val="32"/>
        </w:rPr>
        <w:t>支出62.05万元。</w:t>
      </w:r>
    </w:p>
    <w:p>
      <w:pPr>
        <w:spacing w:line="560" w:lineRule="exact"/>
        <w:ind w:firstLine="642" w:firstLineChars="200"/>
        <w:rPr>
          <w:rFonts w:ascii="仿宋" w:hAnsi="仿宋" w:eastAsia="仿宋"/>
          <w:color w:val="auto"/>
          <w:sz w:val="32"/>
          <w:szCs w:val="32"/>
        </w:rPr>
      </w:pPr>
      <w:r>
        <w:rPr>
          <w:rFonts w:hint="eastAsia" w:ascii="仿宋_GB2312" w:hAnsi="ˎ̥" w:eastAsia="仿宋_GB2312"/>
          <w:b/>
          <w:bCs/>
          <w:color w:val="auto"/>
          <w:sz w:val="32"/>
          <w:szCs w:val="32"/>
        </w:rPr>
        <w:t>2.一般公共服务（类）群众团体事务（款）工会事务（项）</w:t>
      </w:r>
      <w:r>
        <w:rPr>
          <w:rFonts w:hint="eastAsia" w:ascii="仿宋" w:hAnsi="仿宋" w:eastAsia="仿宋"/>
          <w:color w:val="auto"/>
          <w:sz w:val="32"/>
          <w:szCs w:val="32"/>
        </w:rPr>
        <w:t>支出</w:t>
      </w:r>
      <w:r>
        <w:rPr>
          <w:rFonts w:hint="eastAsia" w:ascii="仿宋_GB2312" w:hAnsi="ˎ̥" w:eastAsia="仿宋_GB2312"/>
          <w:color w:val="auto"/>
          <w:sz w:val="32"/>
          <w:szCs w:val="32"/>
        </w:rPr>
        <w:t>83.44</w:t>
      </w:r>
      <w:r>
        <w:rPr>
          <w:rFonts w:hint="eastAsia" w:ascii="仿宋" w:hAnsi="仿宋" w:eastAsia="仿宋"/>
          <w:color w:val="auto"/>
          <w:sz w:val="32"/>
          <w:szCs w:val="32"/>
        </w:rPr>
        <w:t>万元。</w:t>
      </w:r>
    </w:p>
    <w:p>
      <w:pPr>
        <w:spacing w:line="560" w:lineRule="exact"/>
        <w:ind w:firstLine="642" w:firstLineChars="200"/>
        <w:rPr>
          <w:rFonts w:ascii="仿宋" w:hAnsi="仿宋" w:eastAsia="仿宋"/>
          <w:b/>
          <w:color w:val="auto"/>
          <w:sz w:val="32"/>
          <w:szCs w:val="32"/>
        </w:rPr>
      </w:pPr>
      <w:r>
        <w:rPr>
          <w:rFonts w:hint="eastAsia" w:ascii="仿宋_GB2312" w:hAnsi="ˎ̥" w:eastAsia="仿宋_GB2312"/>
          <w:b/>
          <w:bCs/>
          <w:color w:val="auto"/>
          <w:sz w:val="32"/>
          <w:szCs w:val="32"/>
        </w:rPr>
        <w:t>3.一般公共服务（类）群众团体事务（款）其他群众团体事务支出（项）</w:t>
      </w:r>
      <w:r>
        <w:rPr>
          <w:rFonts w:hint="eastAsia" w:ascii="仿宋" w:hAnsi="仿宋" w:eastAsia="仿宋"/>
          <w:color w:val="auto"/>
          <w:sz w:val="32"/>
          <w:szCs w:val="32"/>
        </w:rPr>
        <w:t>支出</w:t>
      </w:r>
      <w:r>
        <w:rPr>
          <w:rFonts w:hint="eastAsia" w:ascii="仿宋_GB2312" w:hAnsi="ˎ̥" w:eastAsia="仿宋_GB2312"/>
          <w:color w:val="auto"/>
          <w:sz w:val="32"/>
          <w:szCs w:val="32"/>
        </w:rPr>
        <w:t>0.23</w:t>
      </w:r>
      <w:r>
        <w:rPr>
          <w:rFonts w:hint="eastAsia" w:ascii="仿宋" w:hAnsi="仿宋" w:eastAsia="仿宋"/>
          <w:color w:val="auto"/>
          <w:sz w:val="32"/>
          <w:szCs w:val="32"/>
        </w:rPr>
        <w:t>万元。</w:t>
      </w:r>
    </w:p>
    <w:p>
      <w:pPr>
        <w:spacing w:line="560" w:lineRule="exact"/>
        <w:ind w:firstLine="642" w:firstLineChars="200"/>
        <w:rPr>
          <w:rFonts w:ascii="仿宋" w:hAnsi="仿宋" w:eastAsia="仿宋"/>
          <w:bCs/>
          <w:color w:val="auto"/>
          <w:sz w:val="32"/>
          <w:szCs w:val="32"/>
        </w:rPr>
      </w:pPr>
      <w:r>
        <w:rPr>
          <w:rFonts w:hint="eastAsia" w:ascii="仿宋_GB2312" w:hAnsi="ˎ̥" w:eastAsia="仿宋_GB2312"/>
          <w:b/>
          <w:bCs/>
          <w:color w:val="auto"/>
          <w:sz w:val="32"/>
          <w:szCs w:val="32"/>
        </w:rPr>
        <w:t>4.社会保障和就业（类）行政事业单位养老支出（款）机关事业单位基本养老保险缴费支出（项）</w:t>
      </w:r>
      <w:r>
        <w:rPr>
          <w:rFonts w:hint="eastAsia" w:ascii="仿宋" w:hAnsi="仿宋" w:eastAsia="仿宋"/>
          <w:color w:val="auto"/>
          <w:sz w:val="32"/>
          <w:szCs w:val="32"/>
        </w:rPr>
        <w:t>支出</w:t>
      </w:r>
      <w:r>
        <w:rPr>
          <w:rFonts w:hint="eastAsia" w:ascii="仿宋_GB2312" w:hAnsi="ˎ̥" w:eastAsia="仿宋_GB2312"/>
          <w:color w:val="auto"/>
          <w:sz w:val="32"/>
          <w:szCs w:val="32"/>
        </w:rPr>
        <w:t>9.91</w:t>
      </w:r>
      <w:r>
        <w:rPr>
          <w:rFonts w:hint="eastAsia" w:ascii="仿宋" w:hAnsi="仿宋" w:eastAsia="仿宋"/>
          <w:color w:val="auto"/>
          <w:sz w:val="32"/>
          <w:szCs w:val="32"/>
        </w:rPr>
        <w:t>万元。</w:t>
      </w:r>
    </w:p>
    <w:p>
      <w:pPr>
        <w:spacing w:line="560" w:lineRule="exact"/>
        <w:ind w:firstLine="642" w:firstLineChars="200"/>
        <w:rPr>
          <w:rFonts w:ascii="仿宋" w:hAnsi="仿宋" w:eastAsia="仿宋"/>
          <w:color w:val="auto"/>
          <w:sz w:val="32"/>
          <w:szCs w:val="32"/>
        </w:rPr>
      </w:pPr>
      <w:r>
        <w:rPr>
          <w:rFonts w:hint="eastAsia" w:ascii="仿宋_GB2312" w:hAnsi="ˎ̥" w:eastAsia="仿宋_GB2312"/>
          <w:b/>
          <w:bCs/>
          <w:color w:val="auto"/>
          <w:sz w:val="32"/>
          <w:szCs w:val="32"/>
        </w:rPr>
        <w:t>5.卫生健康支出（类）行政事业单位医疗（款）行政单位医疗（项）</w:t>
      </w:r>
      <w:r>
        <w:rPr>
          <w:rFonts w:hint="eastAsia" w:ascii="仿宋" w:hAnsi="仿宋" w:eastAsia="仿宋"/>
          <w:color w:val="auto"/>
          <w:sz w:val="32"/>
          <w:szCs w:val="32"/>
        </w:rPr>
        <w:t>支出</w:t>
      </w:r>
      <w:r>
        <w:rPr>
          <w:rFonts w:hint="eastAsia" w:ascii="仿宋_GB2312" w:hAnsi="ˎ̥" w:eastAsia="仿宋_GB2312"/>
          <w:color w:val="auto"/>
          <w:sz w:val="32"/>
          <w:szCs w:val="32"/>
        </w:rPr>
        <w:t>2.31</w:t>
      </w:r>
      <w:r>
        <w:rPr>
          <w:rFonts w:hint="eastAsia" w:ascii="仿宋" w:hAnsi="仿宋" w:eastAsia="仿宋"/>
          <w:color w:val="auto"/>
          <w:sz w:val="32"/>
          <w:szCs w:val="32"/>
        </w:rPr>
        <w:t>万元。</w:t>
      </w:r>
    </w:p>
    <w:p>
      <w:pPr>
        <w:spacing w:line="560" w:lineRule="exact"/>
        <w:ind w:firstLine="642" w:firstLineChars="200"/>
        <w:rPr>
          <w:rFonts w:ascii="仿宋" w:hAnsi="仿宋" w:eastAsia="仿宋"/>
          <w:color w:val="auto"/>
          <w:sz w:val="32"/>
          <w:szCs w:val="32"/>
        </w:rPr>
      </w:pPr>
      <w:r>
        <w:rPr>
          <w:rFonts w:hint="eastAsia" w:ascii="仿宋_GB2312" w:hAnsi="ˎ̥" w:eastAsia="仿宋_GB2312"/>
          <w:b/>
          <w:bCs/>
          <w:color w:val="auto"/>
          <w:sz w:val="32"/>
          <w:szCs w:val="32"/>
        </w:rPr>
        <w:t>6.卫生健康支出（类）行政事业单位医疗（款）公务员医疗补助（项）</w:t>
      </w:r>
      <w:r>
        <w:rPr>
          <w:rFonts w:hint="eastAsia" w:ascii="仿宋" w:hAnsi="仿宋" w:eastAsia="仿宋"/>
          <w:color w:val="auto"/>
          <w:sz w:val="32"/>
          <w:szCs w:val="32"/>
        </w:rPr>
        <w:t>支出</w:t>
      </w:r>
      <w:r>
        <w:rPr>
          <w:rFonts w:hint="eastAsia" w:ascii="仿宋_GB2312" w:hAnsi="ˎ̥" w:eastAsia="仿宋_GB2312"/>
          <w:color w:val="auto"/>
          <w:sz w:val="32"/>
          <w:szCs w:val="32"/>
        </w:rPr>
        <w:t>0.6</w:t>
      </w:r>
      <w:r>
        <w:rPr>
          <w:rFonts w:hint="eastAsia" w:ascii="仿宋" w:hAnsi="仿宋" w:eastAsia="仿宋"/>
          <w:color w:val="auto"/>
          <w:sz w:val="32"/>
          <w:szCs w:val="32"/>
        </w:rPr>
        <w:t>万元。</w:t>
      </w:r>
    </w:p>
    <w:p>
      <w:pPr>
        <w:spacing w:line="560" w:lineRule="exact"/>
        <w:ind w:firstLine="642" w:firstLineChars="200"/>
        <w:rPr>
          <w:rFonts w:ascii="仿宋" w:hAnsi="仿宋" w:eastAsia="仿宋"/>
          <w:color w:val="auto"/>
          <w:sz w:val="32"/>
          <w:szCs w:val="32"/>
        </w:rPr>
      </w:pPr>
      <w:r>
        <w:rPr>
          <w:rFonts w:hint="eastAsia" w:ascii="仿宋_GB2312" w:hAnsi="ˎ̥" w:eastAsia="仿宋_GB2312"/>
          <w:b/>
          <w:bCs/>
          <w:color w:val="auto"/>
          <w:sz w:val="32"/>
          <w:szCs w:val="32"/>
        </w:rPr>
        <w:t>7.住房保障（类）住房改革（款）住房公积金（项）</w:t>
      </w:r>
      <w:r>
        <w:rPr>
          <w:rFonts w:hint="eastAsia" w:ascii="仿宋" w:hAnsi="仿宋" w:eastAsia="仿宋"/>
          <w:color w:val="auto"/>
          <w:sz w:val="32"/>
          <w:szCs w:val="32"/>
        </w:rPr>
        <w:t>支出</w:t>
      </w:r>
      <w:r>
        <w:rPr>
          <w:rFonts w:hint="eastAsia" w:ascii="仿宋_GB2312" w:hAnsi="ˎ̥" w:eastAsia="仿宋_GB2312"/>
          <w:color w:val="auto"/>
          <w:sz w:val="32"/>
          <w:szCs w:val="32"/>
        </w:rPr>
        <w:t>6.5</w:t>
      </w:r>
      <w:r>
        <w:rPr>
          <w:rFonts w:hint="eastAsia" w:ascii="仿宋" w:hAnsi="仿宋" w:eastAsia="仿宋"/>
          <w:color w:val="auto"/>
          <w:sz w:val="32"/>
          <w:szCs w:val="32"/>
        </w:rPr>
        <w:t>万元。</w:t>
      </w:r>
    </w:p>
    <w:p>
      <w:pPr>
        <w:spacing w:line="560" w:lineRule="exact"/>
        <w:ind w:firstLine="642" w:firstLineChars="200"/>
        <w:rPr>
          <w:rFonts w:ascii="仿宋_GB2312" w:hAnsi="仿宋_GB2312" w:eastAsia="仿宋_GB2312" w:cs="仿宋_GB2312"/>
          <w:b/>
          <w:color w:val="auto"/>
          <w:sz w:val="32"/>
          <w:szCs w:val="32"/>
        </w:rPr>
      </w:pPr>
      <w:r>
        <w:rPr>
          <w:rFonts w:hint="eastAsia" w:ascii="仿宋_GB2312" w:hAnsi="ˎ̥" w:eastAsia="仿宋_GB2312"/>
          <w:b/>
          <w:bCs/>
          <w:color w:val="auto"/>
          <w:sz w:val="32"/>
          <w:szCs w:val="32"/>
        </w:rPr>
        <w:t>8.住房保障（类）住房改革（款）购房补贴（项）</w:t>
      </w:r>
      <w:r>
        <w:rPr>
          <w:rFonts w:hint="eastAsia" w:ascii="仿宋" w:hAnsi="仿宋" w:eastAsia="仿宋"/>
          <w:color w:val="auto"/>
          <w:sz w:val="32"/>
          <w:szCs w:val="32"/>
        </w:rPr>
        <w:t>支出</w:t>
      </w:r>
      <w:r>
        <w:rPr>
          <w:rFonts w:hint="eastAsia" w:ascii="仿宋_GB2312" w:hAnsi="ˎ̥" w:eastAsia="仿宋_GB2312"/>
          <w:color w:val="auto"/>
          <w:sz w:val="32"/>
          <w:szCs w:val="32"/>
        </w:rPr>
        <w:t>2.85</w:t>
      </w:r>
      <w:r>
        <w:rPr>
          <w:rFonts w:hint="eastAsia" w:ascii="仿宋" w:hAnsi="仿宋" w:eastAsia="仿宋"/>
          <w:color w:val="auto"/>
          <w:sz w:val="32"/>
          <w:szCs w:val="32"/>
        </w:rPr>
        <w:t>万元。</w:t>
      </w:r>
    </w:p>
    <w:p>
      <w:pPr>
        <w:spacing w:line="578" w:lineRule="exact"/>
        <w:ind w:firstLine="627" w:firstLineChars="196"/>
        <w:rPr>
          <w:rFonts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pPr>
        <w:tabs>
          <w:tab w:val="center" w:pos="4473"/>
        </w:tabs>
        <w:spacing w:line="578" w:lineRule="exact"/>
        <w:ind w:firstLine="640" w:firstLineChars="200"/>
        <w:rPr>
          <w:rFonts w:ascii="仿宋_GB2312" w:hAnsi="ˎ̥" w:eastAsia="仿宋_GB2312"/>
          <w:color w:val="auto"/>
          <w:sz w:val="32"/>
          <w:szCs w:val="32"/>
        </w:rPr>
      </w:pPr>
      <w:r>
        <w:rPr>
          <w:rFonts w:ascii="仿宋_GB2312" w:hAnsi="ˎ̥" w:eastAsia="仿宋_GB2312"/>
          <w:color w:val="auto"/>
          <w:sz w:val="32"/>
          <w:szCs w:val="32"/>
        </w:rPr>
        <w:t>2024</w:t>
      </w:r>
      <w:r>
        <w:rPr>
          <w:rFonts w:hint="eastAsia" w:ascii="仿宋_GB2312" w:hAnsi="ˎ̥" w:eastAsia="仿宋_GB2312"/>
          <w:color w:val="auto"/>
          <w:sz w:val="32"/>
          <w:szCs w:val="32"/>
        </w:rPr>
        <w:t>年度财政拨款基本支出84.23万元，其中：人员经费</w:t>
      </w:r>
      <w:r>
        <w:rPr>
          <w:rFonts w:ascii="仿宋_GB2312" w:hAnsi="ˎ̥" w:eastAsia="仿宋_GB2312"/>
          <w:color w:val="auto"/>
          <w:sz w:val="32"/>
          <w:szCs w:val="32"/>
        </w:rPr>
        <w:t>79.43</w:t>
      </w:r>
      <w:r>
        <w:rPr>
          <w:rFonts w:hint="eastAsia" w:ascii="仿宋_GB2312" w:hAnsi="ˎ̥" w:eastAsia="仿宋_GB2312"/>
          <w:color w:val="auto"/>
          <w:sz w:val="32"/>
          <w:szCs w:val="32"/>
        </w:rPr>
        <w:t>万元，主要包括：工资福利支出中的基本工资、津贴补贴、奖金、绩效工资、机关事业单位基本养老保险缴费、职业年金缴费、职工基本医疗保险缴费、公务员医疗补助缴费、其他社会保障缴费、住房公积金、医疗费、其他工资福利支出、其他对个人和家庭的补助。公用经费</w:t>
      </w:r>
      <w:r>
        <w:rPr>
          <w:rFonts w:ascii="仿宋_GB2312" w:hAnsi="ˎ̥" w:eastAsia="仿宋_GB2312"/>
          <w:color w:val="auto"/>
          <w:sz w:val="32"/>
          <w:szCs w:val="32"/>
        </w:rPr>
        <w:t>4.79</w:t>
      </w:r>
      <w:r>
        <w:rPr>
          <w:rFonts w:hint="eastAsia" w:ascii="仿宋_GB2312" w:hAnsi="ˎ̥" w:eastAsia="仿宋_GB2312"/>
          <w:color w:val="auto"/>
          <w:sz w:val="32"/>
          <w:szCs w:val="32"/>
        </w:rPr>
        <w:t>万元，主要包括：商品和服务支出中的办公费、印刷费、咨询费、手续费、水费、电费、邮电费、取暖费、物业管理费、差旅费、工会经费、福利费和其他支出。</w:t>
      </w:r>
    </w:p>
    <w:p>
      <w:pPr>
        <w:tabs>
          <w:tab w:val="center" w:pos="4473"/>
        </w:tabs>
        <w:spacing w:line="578" w:lineRule="exact"/>
        <w:ind w:firstLine="627" w:firstLineChars="196"/>
        <w:rPr>
          <w:rFonts w:ascii="黑体" w:hAnsi="黑体" w:eastAsia="黑体" w:cs="黑体"/>
          <w:bCs/>
          <w:color w:val="auto"/>
          <w:sz w:val="32"/>
          <w:szCs w:val="32"/>
        </w:rPr>
      </w:pPr>
      <w:r>
        <w:rPr>
          <w:rFonts w:hint="eastAsia" w:ascii="黑体" w:hAnsi="黑体" w:eastAsia="黑体" w:cs="黑体"/>
          <w:bCs/>
          <w:color w:val="auto"/>
          <w:sz w:val="32"/>
          <w:szCs w:val="32"/>
        </w:rPr>
        <w:t>七、政府性基金预算财政拨款支出决算情况说明</w:t>
      </w:r>
    </w:p>
    <w:p>
      <w:pPr>
        <w:tabs>
          <w:tab w:val="center" w:pos="4473"/>
        </w:tabs>
        <w:spacing w:line="578" w:lineRule="exact"/>
        <w:ind w:firstLine="627" w:firstLineChars="196"/>
        <w:rPr>
          <w:rFonts w:hint="eastAsia" w:ascii="仿宋_GB2312" w:hAnsi="ˎ̥" w:eastAsia="仿宋_GB2312"/>
          <w:color w:val="auto"/>
          <w:sz w:val="32"/>
          <w:szCs w:val="32"/>
          <w:lang w:eastAsia="zh-CN"/>
        </w:rPr>
      </w:pPr>
      <w:r>
        <w:rPr>
          <w:rFonts w:hint="eastAsia" w:ascii="仿宋_GB2312" w:hAnsi="ˎ̥" w:eastAsia="仿宋_GB2312"/>
          <w:color w:val="auto"/>
          <w:sz w:val="32"/>
          <w:szCs w:val="32"/>
          <w:lang w:eastAsia="zh-CN"/>
        </w:rPr>
        <w:t>无。</w:t>
      </w:r>
    </w:p>
    <w:p>
      <w:pPr>
        <w:tabs>
          <w:tab w:val="center" w:pos="4473"/>
        </w:tabs>
        <w:spacing w:line="578" w:lineRule="exact"/>
        <w:ind w:firstLine="627" w:firstLineChars="196"/>
        <w:rPr>
          <w:rFonts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pPr>
        <w:spacing w:line="578" w:lineRule="exact"/>
        <w:ind w:firstLine="640" w:firstLineChars="200"/>
        <w:rPr>
          <w:rFonts w:hint="eastAsia" w:ascii="仿宋_GB2312" w:hAnsi="ˎ̥" w:eastAsia="仿宋_GB2312"/>
          <w:color w:val="auto"/>
          <w:sz w:val="32"/>
          <w:szCs w:val="32"/>
          <w:lang w:eastAsia="zh-CN"/>
        </w:rPr>
      </w:pPr>
      <w:r>
        <w:rPr>
          <w:rFonts w:ascii="仿宋_GB2312" w:hAnsi="ˎ̥" w:eastAsia="仿宋_GB2312"/>
          <w:color w:val="auto"/>
          <w:sz w:val="32"/>
          <w:szCs w:val="32"/>
        </w:rPr>
        <w:t>2024</w:t>
      </w:r>
      <w:r>
        <w:rPr>
          <w:rFonts w:hint="eastAsia" w:ascii="仿宋_GB2312" w:hAnsi="ˎ̥" w:eastAsia="仿宋_GB2312"/>
          <w:color w:val="auto"/>
          <w:sz w:val="32"/>
          <w:szCs w:val="32"/>
        </w:rPr>
        <w:t>年度我单位无国有资本经营预算财政拨款支出</w:t>
      </w:r>
      <w:r>
        <w:rPr>
          <w:rFonts w:hint="eastAsia" w:ascii="仿宋_GB2312" w:hAnsi="ˎ̥" w:eastAsia="仿宋_GB2312"/>
          <w:color w:val="auto"/>
          <w:sz w:val="32"/>
          <w:szCs w:val="32"/>
          <w:lang w:eastAsia="zh-CN"/>
        </w:rPr>
        <w:t>。</w:t>
      </w:r>
    </w:p>
    <w:p>
      <w:pPr>
        <w:spacing w:line="578" w:lineRule="exact"/>
        <w:ind w:firstLine="627" w:firstLineChars="196"/>
        <w:rPr>
          <w:rFonts w:ascii="仿宋_GB2312" w:hAnsi="ˎ̥" w:eastAsia="楷体_GB2312"/>
          <w:color w:val="auto"/>
          <w:sz w:val="32"/>
          <w:szCs w:val="32"/>
        </w:rPr>
      </w:pPr>
      <w:r>
        <w:rPr>
          <w:rFonts w:hint="eastAsia" w:ascii="黑体" w:hAnsi="黑体" w:eastAsia="黑体" w:cs="黑体"/>
          <w:bCs/>
          <w:color w:val="auto"/>
          <w:sz w:val="32"/>
          <w:szCs w:val="32"/>
        </w:rPr>
        <w:t>九、财政拨款“三公”经费支出决算情况说明</w:t>
      </w:r>
    </w:p>
    <w:p>
      <w:pPr>
        <w:spacing w:line="578" w:lineRule="exact"/>
        <w:ind w:firstLine="627" w:firstLineChars="196"/>
        <w:rPr>
          <w:rFonts w:hint="eastAsia" w:ascii="仿宋_GB2312" w:hAnsi="ˎ̥" w:eastAsia="仿宋_GB2312"/>
          <w:color w:val="auto"/>
          <w:sz w:val="32"/>
          <w:szCs w:val="32"/>
          <w:lang w:eastAsia="zh-CN"/>
        </w:rPr>
      </w:pPr>
      <w:r>
        <w:rPr>
          <w:rFonts w:ascii="仿宋_GB2312" w:hAnsi="ˎ̥" w:eastAsia="仿宋_GB2312"/>
          <w:color w:val="auto"/>
          <w:sz w:val="32"/>
          <w:szCs w:val="32"/>
        </w:rPr>
        <w:t>2024</w:t>
      </w:r>
      <w:r>
        <w:rPr>
          <w:rFonts w:hint="eastAsia" w:ascii="仿宋_GB2312" w:hAnsi="ˎ̥" w:eastAsia="仿宋_GB2312"/>
          <w:color w:val="auto"/>
          <w:sz w:val="32"/>
          <w:szCs w:val="32"/>
        </w:rPr>
        <w:t>年度我单位无财政拨款“三公”经费支出</w:t>
      </w:r>
      <w:r>
        <w:rPr>
          <w:rFonts w:hint="eastAsia" w:ascii="仿宋_GB2312" w:hAnsi="ˎ̥" w:eastAsia="仿宋_GB2312"/>
          <w:color w:val="auto"/>
          <w:sz w:val="32"/>
          <w:szCs w:val="32"/>
          <w:lang w:eastAsia="zh-CN"/>
        </w:rPr>
        <w:t>。</w:t>
      </w:r>
    </w:p>
    <w:p>
      <w:pPr>
        <w:spacing w:line="578" w:lineRule="exact"/>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十、预算绩效情况说明</w:t>
      </w:r>
    </w:p>
    <w:p>
      <w:pPr>
        <w:spacing w:line="578"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本单位2024年无重点项目支出</w:t>
      </w:r>
      <w:r>
        <w:rPr>
          <w:rFonts w:hint="eastAsia" w:ascii="仿宋_GB2312" w:eastAsia="仿宋_GB2312"/>
          <w:color w:val="auto"/>
          <w:sz w:val="32"/>
          <w:szCs w:val="32"/>
          <w:lang w:eastAsia="zh-CN"/>
        </w:rPr>
        <w:t>。</w:t>
      </w:r>
    </w:p>
    <w:p>
      <w:pPr>
        <w:spacing w:line="578" w:lineRule="exact"/>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十一、其他重要事项情况说明</w:t>
      </w:r>
    </w:p>
    <w:p>
      <w:pPr>
        <w:spacing w:line="578" w:lineRule="exact"/>
        <w:ind w:firstLine="640" w:firstLineChars="200"/>
        <w:rPr>
          <w:rFonts w:ascii="楷体" w:hAnsi="楷体" w:eastAsia="楷体" w:cs="楷体"/>
          <w:bCs/>
          <w:color w:val="auto"/>
          <w:sz w:val="32"/>
          <w:szCs w:val="32"/>
        </w:rPr>
      </w:pPr>
      <w:bookmarkStart w:id="95" w:name="_Toc32639_WPSOffice_Level2"/>
      <w:bookmarkStart w:id="96" w:name="_Toc18325_WPSOffice_Level2"/>
      <w:bookmarkStart w:id="97" w:name="_Toc15565_WPSOffice_Level2"/>
      <w:bookmarkStart w:id="98" w:name="_Toc5978_WPSOffice_Level2"/>
      <w:bookmarkStart w:id="99" w:name="_Toc15262_WPSOffice_Level2"/>
      <w:bookmarkStart w:id="100" w:name="_Toc23598_WPSOffice_Level2"/>
      <w:r>
        <w:rPr>
          <w:rFonts w:hint="eastAsia" w:ascii="楷体" w:hAnsi="楷体" w:eastAsia="楷体" w:cs="楷体"/>
          <w:bCs/>
          <w:color w:val="auto"/>
          <w:sz w:val="32"/>
          <w:szCs w:val="32"/>
        </w:rPr>
        <w:t>（一）机关运行经费支出情况</w:t>
      </w:r>
      <w:bookmarkEnd w:id="95"/>
      <w:bookmarkEnd w:id="96"/>
      <w:bookmarkEnd w:id="97"/>
      <w:bookmarkEnd w:id="98"/>
      <w:bookmarkEnd w:id="99"/>
      <w:bookmarkEnd w:id="100"/>
    </w:p>
    <w:p>
      <w:pPr>
        <w:spacing w:line="578" w:lineRule="exact"/>
        <w:ind w:firstLine="640" w:firstLineChars="200"/>
        <w:rPr>
          <w:rFonts w:ascii="仿宋_GB2312" w:hAnsi="ˎ̥" w:eastAsia="仿宋_GB2312"/>
          <w:color w:val="auto"/>
          <w:sz w:val="32"/>
          <w:szCs w:val="32"/>
        </w:rPr>
      </w:pPr>
      <w:r>
        <w:rPr>
          <w:rFonts w:ascii="仿宋_GB2312" w:hAnsi="ˎ̥" w:eastAsia="仿宋_GB2312"/>
          <w:color w:val="auto"/>
          <w:sz w:val="32"/>
          <w:szCs w:val="32"/>
        </w:rPr>
        <w:t>2024</w:t>
      </w:r>
      <w:r>
        <w:rPr>
          <w:rFonts w:hint="eastAsia" w:ascii="仿宋_GB2312" w:hAnsi="ˎ̥" w:eastAsia="仿宋_GB2312"/>
          <w:color w:val="auto"/>
          <w:sz w:val="32"/>
          <w:szCs w:val="32"/>
        </w:rPr>
        <w:t>年度墨脱县总工会机关运行经费支出4.79万元，比年初预算减少2.2万元，完成预算的68.53%；与2023年度相比，机关运行经费支出减少0.1万元，下降2.04%。主要原因是人员变动导致支出适量减少。</w:t>
      </w:r>
    </w:p>
    <w:p>
      <w:pPr>
        <w:spacing w:line="578" w:lineRule="exact"/>
        <w:ind w:firstLine="640" w:firstLineChars="200"/>
        <w:rPr>
          <w:rFonts w:ascii="楷体" w:hAnsi="楷体" w:eastAsia="楷体" w:cs="楷体"/>
          <w:bCs/>
          <w:color w:val="auto"/>
          <w:sz w:val="32"/>
          <w:szCs w:val="32"/>
        </w:rPr>
      </w:pPr>
      <w:bookmarkStart w:id="101" w:name="_Toc3131_WPSOffice_Level2"/>
      <w:bookmarkStart w:id="102" w:name="_Toc30383_WPSOffice_Level2"/>
      <w:bookmarkStart w:id="103" w:name="_Toc25333_WPSOffice_Level2"/>
      <w:bookmarkStart w:id="104" w:name="_Toc13084_WPSOffice_Level2"/>
      <w:bookmarkStart w:id="105" w:name="_Toc32689_WPSOffice_Level2"/>
      <w:bookmarkStart w:id="106" w:name="_Toc23966_WPSOffice_Level2"/>
      <w:r>
        <w:rPr>
          <w:rFonts w:hint="eastAsia" w:ascii="楷体" w:hAnsi="楷体" w:eastAsia="楷体" w:cs="楷体"/>
          <w:bCs/>
          <w:color w:val="auto"/>
          <w:sz w:val="32"/>
          <w:szCs w:val="32"/>
        </w:rPr>
        <w:t>（二）政府采购支出情况</w:t>
      </w:r>
      <w:bookmarkEnd w:id="101"/>
      <w:bookmarkEnd w:id="102"/>
      <w:bookmarkEnd w:id="103"/>
      <w:bookmarkEnd w:id="104"/>
      <w:bookmarkEnd w:id="105"/>
      <w:bookmarkEnd w:id="106"/>
    </w:p>
    <w:p>
      <w:pPr>
        <w:spacing w:line="578" w:lineRule="exact"/>
        <w:ind w:firstLine="640" w:firstLineChars="200"/>
        <w:jc w:val="left"/>
        <w:rPr>
          <w:rFonts w:ascii="仿宋_GB2312" w:hAnsi="ˎ̥" w:eastAsia="仿宋_GB2312"/>
          <w:color w:val="auto"/>
          <w:sz w:val="32"/>
          <w:szCs w:val="32"/>
        </w:rPr>
      </w:pPr>
      <w:r>
        <w:rPr>
          <w:rFonts w:ascii="仿宋_GB2312" w:hAnsi="ˎ̥" w:eastAsia="仿宋_GB2312"/>
          <w:color w:val="auto"/>
          <w:sz w:val="32"/>
          <w:szCs w:val="32"/>
        </w:rPr>
        <w:t>2024</w:t>
      </w:r>
      <w:r>
        <w:rPr>
          <w:rFonts w:hint="eastAsia" w:ascii="仿宋_GB2312" w:hAnsi="ˎ̥" w:eastAsia="仿宋_GB2312"/>
          <w:color w:val="auto"/>
          <w:sz w:val="32"/>
          <w:szCs w:val="32"/>
        </w:rPr>
        <w:t>年度我单位无</w:t>
      </w:r>
      <w:r>
        <w:rPr>
          <w:rFonts w:hint="eastAsia" w:ascii="仿宋_GB2312" w:hAnsi="ˎ̥" w:eastAsia="仿宋_GB2312"/>
          <w:color w:val="auto"/>
          <w:sz w:val="32"/>
          <w:szCs w:val="32"/>
          <w:lang w:eastAsia="zh-CN"/>
        </w:rPr>
        <w:t>政</w:t>
      </w:r>
      <w:r>
        <w:rPr>
          <w:rFonts w:hint="eastAsia" w:ascii="仿宋_GB2312" w:hAnsi="ˎ̥" w:eastAsia="仿宋_GB2312"/>
          <w:color w:val="auto"/>
          <w:sz w:val="32"/>
          <w:szCs w:val="32"/>
        </w:rPr>
        <w:t>府采购支出。</w:t>
      </w:r>
    </w:p>
    <w:p>
      <w:pPr>
        <w:spacing w:line="578" w:lineRule="exact"/>
        <w:ind w:firstLine="640" w:firstLineChars="200"/>
        <w:rPr>
          <w:rFonts w:ascii="楷体" w:hAnsi="楷体" w:eastAsia="楷体" w:cs="楷体"/>
          <w:bCs/>
          <w:color w:val="auto"/>
          <w:sz w:val="32"/>
          <w:szCs w:val="32"/>
        </w:rPr>
      </w:pPr>
      <w:bookmarkStart w:id="107" w:name="_Toc6016_WPSOffice_Level2"/>
      <w:bookmarkStart w:id="108" w:name="_Toc15129_WPSOffice_Level2"/>
      <w:bookmarkStart w:id="109" w:name="_Toc10902_WPSOffice_Level2"/>
      <w:bookmarkStart w:id="110" w:name="_Toc29584_WPSOffice_Level2"/>
      <w:bookmarkStart w:id="111" w:name="_Toc19989_WPSOffice_Level2"/>
      <w:bookmarkStart w:id="112" w:name="_Toc527_WPSOffice_Level2"/>
      <w:r>
        <w:rPr>
          <w:rFonts w:hint="eastAsia" w:ascii="楷体" w:hAnsi="楷体" w:eastAsia="楷体" w:cs="楷体"/>
          <w:bCs/>
          <w:color w:val="auto"/>
          <w:sz w:val="32"/>
          <w:szCs w:val="32"/>
        </w:rPr>
        <w:t>（三）国有资产占用情况</w:t>
      </w:r>
      <w:bookmarkEnd w:id="107"/>
      <w:bookmarkEnd w:id="108"/>
      <w:bookmarkEnd w:id="109"/>
      <w:bookmarkEnd w:id="110"/>
      <w:bookmarkEnd w:id="111"/>
      <w:bookmarkEnd w:id="112"/>
    </w:p>
    <w:p>
      <w:pPr>
        <w:spacing w:line="578" w:lineRule="exact"/>
        <w:ind w:firstLine="640" w:firstLineChars="200"/>
        <w:rPr>
          <w:rFonts w:ascii="仿宋_GB2312" w:hAnsi="ˎ̥" w:eastAsia="仿宋_GB2312"/>
          <w:color w:val="auto"/>
          <w:sz w:val="32"/>
          <w:szCs w:val="32"/>
        </w:rPr>
      </w:pPr>
      <w:bookmarkStart w:id="113" w:name="_Toc11039_WPSOffice_Level1"/>
      <w:bookmarkStart w:id="114" w:name="_Toc15425_WPSOffice_Level1"/>
      <w:bookmarkStart w:id="115" w:name="_Toc17580_WPSOffice_Level1"/>
      <w:bookmarkStart w:id="116" w:name="_Toc4398_WPSOffice_Level1"/>
      <w:bookmarkStart w:id="117" w:name="_Toc8874_WPSOffice_Level1"/>
      <w:bookmarkStart w:id="118" w:name="_Toc8808_WPSOffice_Level1"/>
      <w:r>
        <w:rPr>
          <w:rFonts w:hint="eastAsia" w:ascii="仿宋_GB2312" w:hAnsi="ˎ̥" w:eastAsia="仿宋_GB2312"/>
          <w:bCs/>
          <w:color w:val="auto"/>
          <w:sz w:val="32"/>
          <w:szCs w:val="32"/>
        </w:rPr>
        <w:t>截至</w:t>
      </w:r>
      <w:r>
        <w:rPr>
          <w:rFonts w:ascii="仿宋_GB2312" w:hAnsi="ˎ̥" w:eastAsia="仿宋_GB2312"/>
          <w:bCs/>
          <w:color w:val="auto"/>
          <w:sz w:val="32"/>
          <w:szCs w:val="32"/>
        </w:rPr>
        <w:t>2024</w:t>
      </w:r>
      <w:r>
        <w:rPr>
          <w:rFonts w:hint="eastAsia" w:ascii="仿宋_GB2312" w:hAnsi="ˎ̥" w:eastAsia="仿宋_GB2312"/>
          <w:bCs/>
          <w:color w:val="auto"/>
          <w:sz w:val="32"/>
          <w:szCs w:val="32"/>
        </w:rPr>
        <w:t>年12月31日，本部门无国有资产占有。</w:t>
      </w:r>
    </w:p>
    <w:p>
      <w:pPr>
        <w:spacing w:line="578" w:lineRule="exact"/>
        <w:jc w:val="center"/>
        <w:rPr>
          <w:rFonts w:ascii="黑体" w:hAnsi="ˎ̥" w:eastAsia="黑体"/>
          <w:color w:val="auto"/>
          <w:sz w:val="32"/>
          <w:szCs w:val="32"/>
        </w:rPr>
      </w:pPr>
    </w:p>
    <w:p>
      <w:pPr>
        <w:spacing w:line="578" w:lineRule="exact"/>
        <w:jc w:val="center"/>
        <w:rPr>
          <w:rFonts w:ascii="黑体" w:hAnsi="ˎ̥" w:eastAsia="黑体"/>
          <w:color w:val="auto"/>
          <w:sz w:val="32"/>
          <w:szCs w:val="32"/>
        </w:rPr>
      </w:pPr>
    </w:p>
    <w:p>
      <w:pPr>
        <w:spacing w:line="578" w:lineRule="exact"/>
        <w:jc w:val="center"/>
        <w:rPr>
          <w:rFonts w:ascii="黑体" w:hAnsi="ˎ̥" w:eastAsia="黑体"/>
          <w:color w:val="auto"/>
          <w:sz w:val="32"/>
          <w:szCs w:val="32"/>
        </w:rPr>
      </w:pPr>
    </w:p>
    <w:p>
      <w:pPr>
        <w:spacing w:line="578" w:lineRule="exact"/>
        <w:jc w:val="center"/>
        <w:rPr>
          <w:rFonts w:ascii="黑体" w:hAnsi="ˎ̥" w:eastAsia="黑体"/>
          <w:color w:val="auto"/>
          <w:sz w:val="32"/>
          <w:szCs w:val="32"/>
        </w:rPr>
      </w:pPr>
    </w:p>
    <w:p>
      <w:pPr>
        <w:spacing w:line="578" w:lineRule="exact"/>
        <w:jc w:val="center"/>
        <w:rPr>
          <w:rFonts w:ascii="黑体" w:hAnsi="ˎ̥" w:eastAsia="黑体"/>
          <w:color w:val="auto"/>
          <w:sz w:val="32"/>
          <w:szCs w:val="32"/>
        </w:rPr>
      </w:pPr>
    </w:p>
    <w:p>
      <w:pPr>
        <w:spacing w:line="578" w:lineRule="exact"/>
        <w:jc w:val="center"/>
        <w:rPr>
          <w:rFonts w:ascii="黑体" w:hAnsi="ˎ̥" w:eastAsia="黑体"/>
          <w:color w:val="auto"/>
          <w:sz w:val="32"/>
          <w:szCs w:val="32"/>
        </w:rPr>
      </w:pPr>
    </w:p>
    <w:p>
      <w:pPr>
        <w:spacing w:line="578" w:lineRule="exact"/>
        <w:jc w:val="center"/>
        <w:rPr>
          <w:rFonts w:ascii="黑体" w:hAnsi="ˎ̥" w:eastAsia="黑体"/>
          <w:color w:val="auto"/>
          <w:sz w:val="32"/>
          <w:szCs w:val="32"/>
        </w:rPr>
      </w:pPr>
    </w:p>
    <w:p>
      <w:pPr>
        <w:spacing w:line="578" w:lineRule="exact"/>
        <w:jc w:val="center"/>
        <w:rPr>
          <w:rFonts w:ascii="黑体" w:hAnsi="ˎ̥" w:eastAsia="黑体"/>
          <w:color w:val="auto"/>
          <w:sz w:val="32"/>
          <w:szCs w:val="32"/>
        </w:rPr>
      </w:pPr>
    </w:p>
    <w:p>
      <w:pPr>
        <w:spacing w:line="578" w:lineRule="exact"/>
        <w:jc w:val="center"/>
        <w:rPr>
          <w:rFonts w:ascii="黑体" w:hAnsi="ˎ̥" w:eastAsia="黑体"/>
          <w:color w:val="auto"/>
          <w:sz w:val="32"/>
          <w:szCs w:val="32"/>
        </w:rPr>
      </w:pPr>
      <w:r>
        <w:rPr>
          <w:rFonts w:hint="eastAsia" w:ascii="黑体" w:hAnsi="ˎ̥" w:eastAsia="黑体"/>
          <w:color w:val="auto"/>
          <w:sz w:val="32"/>
          <w:szCs w:val="32"/>
        </w:rPr>
        <w:t>第四部分  名词解释</w:t>
      </w:r>
      <w:bookmarkEnd w:id="113"/>
      <w:bookmarkEnd w:id="114"/>
      <w:bookmarkEnd w:id="115"/>
      <w:bookmarkEnd w:id="116"/>
      <w:bookmarkEnd w:id="117"/>
      <w:bookmarkEnd w:id="118"/>
    </w:p>
    <w:p>
      <w:pPr>
        <w:spacing w:line="578" w:lineRule="exact"/>
        <w:jc w:val="center"/>
        <w:rPr>
          <w:rFonts w:ascii="黑体" w:hAnsi="ˎ̥" w:eastAsia="黑体"/>
          <w:color w:val="auto"/>
          <w:sz w:val="32"/>
          <w:szCs w:val="32"/>
        </w:rPr>
      </w:pPr>
    </w:p>
    <w:p>
      <w:pPr>
        <w:numPr>
          <w:ilvl w:val="0"/>
          <w:numId w:val="3"/>
        </w:num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财政拨款收入：指同级政府财政部门当年拨付的各类财政拨款。</w:t>
      </w:r>
    </w:p>
    <w:p>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二、上级补助收入：指事业单位从主管部门和上级单位取得的非财政补助收入。</w:t>
      </w:r>
    </w:p>
    <w:p>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三、事业收入：指事业单位开展专业业务活动及辅助活动取得的收入。</w:t>
      </w:r>
    </w:p>
    <w:p>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四、经营收入：指事业单位在专业业务活动及其辅助活动之外开展非独立核算经营活动取得的收入。</w:t>
      </w:r>
    </w:p>
    <w:p>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五、附属单位上缴收入：指事业单位取得附属独立核算单位根据有关规定上缴的收入。</w:t>
      </w:r>
    </w:p>
    <w:p>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六、其他收入：指除上述“财政拨款收入”“事业收入”“上级补助收入”“经营收入”“附属单位上缴收入”等以外的收入。</w:t>
      </w:r>
    </w:p>
    <w:p>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七、使用非财政拨款结余：指事业单位在当年的“财政拨款收入”“事业收入”“经营收入”“其他收入”等不足以安排当年支出的情况下，使用非同级财政拨款结余资金弥补本年度收支缺口。</w:t>
      </w:r>
    </w:p>
    <w:p>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八、年初结转和结余：指以前年度尚未完成、结转到本年按有关规定继续使用的资金，或项目已完成等产生的结余资金。</w:t>
      </w:r>
    </w:p>
    <w:p>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九、结余分配：指事业单位缴纳企业所得税以及从非财政拨款结余或经营结余中提取各类结余的情况。</w:t>
      </w:r>
    </w:p>
    <w:p>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十一、基本支出：指为保障机构正常运转、完成日常工作任务而发生的人员支出和公用支出。</w:t>
      </w:r>
    </w:p>
    <w:p>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十二、项目支出：指在基本支出之外为完成特定行政任务和事业发展目标所发生的支出。</w:t>
      </w:r>
    </w:p>
    <w:p>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十三、经营支出：指事业单位在专业业务活动及其辅助活动之外开展非独立核算经营活动发生的支出。</w:t>
      </w:r>
    </w:p>
    <w:p>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spacing w:line="578" w:lineRule="exact"/>
        <w:ind w:firstLine="645"/>
        <w:rPr>
          <w:rFonts w:ascii="仿宋_GB2312" w:hAnsi="ˎ̥" w:eastAsia="仿宋_GB2312"/>
          <w:color w:val="auto"/>
          <w:sz w:val="32"/>
          <w:szCs w:val="32"/>
        </w:rPr>
      </w:pPr>
      <w:r>
        <w:rPr>
          <w:rFonts w:hint="eastAsia" w:ascii="仿宋_GB2312" w:hAnsi="ˎ̥" w:eastAsia="仿宋_GB2312"/>
          <w:color w:val="auto"/>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spacing w:line="578" w:lineRule="exact"/>
        <w:ind w:firstLine="645"/>
        <w:rPr>
          <w:rFonts w:ascii="仿宋_GB2312" w:hAnsi="ˎ̥" w:eastAsia="仿宋_GB2312"/>
          <w:color w:val="auto"/>
          <w:sz w:val="32"/>
          <w:szCs w:val="32"/>
        </w:rPr>
      </w:pPr>
      <w:r>
        <w:rPr>
          <w:rFonts w:ascii="仿宋_GB2312" w:hAnsi="ˎ̥" w:eastAsia="仿宋_GB2312"/>
          <w:color w:val="auto"/>
          <w:sz w:val="32"/>
          <w:szCs w:val="32"/>
        </w:rPr>
        <w:t>十六、支出功能分类：</w:t>
      </w:r>
    </w:p>
    <w:p>
      <w:pPr>
        <w:spacing w:line="578" w:lineRule="exact"/>
        <w:ind w:firstLine="645"/>
        <w:rPr>
          <w:rFonts w:ascii="仿宋_GB2312" w:hAnsi="ˎ̥" w:eastAsia="仿宋_GB2312"/>
          <w:color w:val="auto"/>
          <w:sz w:val="32"/>
          <w:szCs w:val="32"/>
        </w:rPr>
      </w:pPr>
      <w:r>
        <w:rPr>
          <w:rFonts w:ascii="仿宋_GB2312" w:hAnsi="ˎ̥" w:eastAsia="仿宋_GB2312"/>
          <w:color w:val="auto"/>
          <w:sz w:val="32"/>
          <w:szCs w:val="32"/>
        </w:rPr>
        <w:t>一般公共服务（类）群众团体事务（款）行政运行（项），反映墨脱县总工会的基本支出；</w:t>
      </w:r>
    </w:p>
    <w:p>
      <w:pPr>
        <w:spacing w:line="578" w:lineRule="exact"/>
        <w:ind w:firstLine="645"/>
        <w:rPr>
          <w:rFonts w:ascii="仿宋_GB2312" w:hAnsi="ˎ̥" w:eastAsia="仿宋_GB2312"/>
          <w:color w:val="auto"/>
          <w:sz w:val="32"/>
          <w:szCs w:val="32"/>
        </w:rPr>
      </w:pPr>
      <w:r>
        <w:rPr>
          <w:rFonts w:ascii="仿宋_GB2312" w:hAnsi="ˎ̥" w:eastAsia="仿宋_GB2312"/>
          <w:color w:val="auto"/>
          <w:sz w:val="32"/>
          <w:szCs w:val="32"/>
        </w:rPr>
        <w:t>一般公共服务（类）群众团体事务（款）其他群众团体事务支出（项），反映墨脱县总工会用于基本支出外的其他群众团体事务方面的支出;</w:t>
      </w:r>
    </w:p>
    <w:p>
      <w:pPr>
        <w:spacing w:line="578" w:lineRule="exact"/>
        <w:ind w:firstLine="645"/>
        <w:rPr>
          <w:rFonts w:ascii="仿宋_GB2312" w:hAnsi="ˎ̥" w:eastAsia="仿宋_GB2312"/>
          <w:color w:val="auto"/>
          <w:sz w:val="32"/>
          <w:szCs w:val="32"/>
        </w:rPr>
      </w:pPr>
      <w:r>
        <w:rPr>
          <w:rFonts w:ascii="仿宋_GB2312" w:hAnsi="ˎ̥" w:eastAsia="仿宋_GB2312"/>
          <w:color w:val="auto"/>
          <w:sz w:val="32"/>
          <w:szCs w:val="32"/>
        </w:rPr>
        <w:t>社会保障和就业（类）行政事业单位养老（款）机关事业单位基本养老保险缴费支出（项），反映墨脱县总工会实施养老保险制度缴纳的基本养老保险费支出；</w:t>
      </w:r>
    </w:p>
    <w:p>
      <w:pPr>
        <w:spacing w:line="578" w:lineRule="exact"/>
        <w:ind w:firstLine="645"/>
        <w:rPr>
          <w:rFonts w:ascii="仿宋_GB2312" w:hAnsi="ˎ̥" w:eastAsia="仿宋_GB2312"/>
          <w:color w:val="auto"/>
          <w:sz w:val="32"/>
          <w:szCs w:val="32"/>
        </w:rPr>
      </w:pPr>
      <w:r>
        <w:rPr>
          <w:rFonts w:ascii="仿宋_GB2312" w:hAnsi="ˎ̥" w:eastAsia="仿宋_GB2312"/>
          <w:color w:val="auto"/>
          <w:sz w:val="32"/>
          <w:szCs w:val="32"/>
        </w:rPr>
        <w:t>卫生健康（类）行政事业单位医疗（款）行政单位医疗（项），反映财政部门安排的墨脱县总工会基本医疗保险缴费经费；</w:t>
      </w:r>
    </w:p>
    <w:p>
      <w:pPr>
        <w:spacing w:line="578" w:lineRule="exact"/>
        <w:ind w:firstLine="645"/>
        <w:rPr>
          <w:rFonts w:ascii="仿宋_GB2312" w:hAnsi="ˎ̥" w:eastAsia="仿宋_GB2312"/>
          <w:color w:val="auto"/>
          <w:sz w:val="32"/>
          <w:szCs w:val="32"/>
        </w:rPr>
      </w:pPr>
      <w:r>
        <w:rPr>
          <w:rFonts w:ascii="仿宋_GB2312" w:hAnsi="ˎ̥" w:eastAsia="仿宋_GB2312"/>
          <w:color w:val="auto"/>
          <w:sz w:val="32"/>
          <w:szCs w:val="32"/>
        </w:rPr>
        <w:t>卫生健康（类）行政事业单位医疗（款）公务员医疗补助（项），反映财政部门安排的墨脱县总工会公务员医疗补助经费；</w:t>
      </w:r>
    </w:p>
    <w:p>
      <w:pPr>
        <w:spacing w:line="578" w:lineRule="exact"/>
        <w:ind w:firstLine="645"/>
        <w:rPr>
          <w:rFonts w:ascii="仿宋_GB2312" w:hAnsi="ˎ̥" w:eastAsia="仿宋_GB2312"/>
          <w:color w:val="auto"/>
          <w:sz w:val="32"/>
          <w:szCs w:val="32"/>
        </w:rPr>
      </w:pPr>
      <w:r>
        <w:rPr>
          <w:rFonts w:ascii="仿宋_GB2312" w:hAnsi="ˎ̥" w:eastAsia="仿宋_GB2312"/>
          <w:color w:val="auto"/>
          <w:sz w:val="32"/>
          <w:szCs w:val="32"/>
        </w:rPr>
        <w:t>住房保障（类）住房改革（款）住房公积金（项），反映墨脱县总工会按人力资源和社会保障部、财政部规定的基本工资和津贴补贴以及规定比例为职工缴纳的住房公积金；</w:t>
      </w:r>
    </w:p>
    <w:p>
      <w:pPr>
        <w:spacing w:line="578" w:lineRule="exact"/>
        <w:ind w:firstLine="645"/>
        <w:rPr>
          <w:rFonts w:ascii="仿宋_GB2312" w:hAnsi="ˎ̥" w:eastAsia="仿宋_GB2312"/>
          <w:color w:val="auto"/>
          <w:sz w:val="32"/>
          <w:szCs w:val="32"/>
        </w:rPr>
      </w:pPr>
      <w:r>
        <w:rPr>
          <w:rFonts w:ascii="仿宋_GB2312" w:hAnsi="ˎ̥" w:eastAsia="仿宋_GB2312"/>
          <w:color w:val="auto"/>
          <w:sz w:val="32"/>
          <w:szCs w:val="32"/>
        </w:rPr>
        <w:t>住房保障（类）住房改革（款）购房补贴（项），反映按房改政策规定，向符合条件职工发放的用于购买住房的补贴。</w:t>
      </w:r>
    </w:p>
    <w:p>
      <w:pPr>
        <w:spacing w:line="578" w:lineRule="exact"/>
        <w:ind w:firstLine="645"/>
        <w:rPr>
          <w:rFonts w:ascii="仿宋_GB2312" w:hAnsi="ˎ̥" w:eastAsia="仿宋_GB2312"/>
          <w:color w:val="auto"/>
          <w:sz w:val="32"/>
          <w:szCs w:val="32"/>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ˎ̥">
    <w:altName w:val="汉仪新人文宋简"/>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汉仪新人文宋简">
    <w:panose1 w:val="00020600040101010101"/>
    <w:charset w:val="86"/>
    <w:family w:val="auto"/>
    <w:pitch w:val="default"/>
    <w:sig w:usb0="A00002BF" w:usb1="1ACF7CFA" w:usb2="00000016" w:usb3="00000000" w:csb0="0004009F" w:csb1="DFD7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11</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69564C0A"/>
    <w:multiLevelType w:val="multilevel"/>
    <w:tmpl w:val="69564C0A"/>
    <w:lvl w:ilvl="0" w:tentative="0">
      <w:start w:val="1"/>
      <w:numFmt w:val="none"/>
      <w:lvlText w:val="一、"/>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72109F8D"/>
    <w:multiLevelType w:val="singleLevel"/>
    <w:tmpl w:val="72109F8D"/>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VlZThlZDk5ZTQ4MTFjNGY3MjIxNTdiOWMzZmQwMWMifQ=="/>
  </w:docVars>
  <w:rsids>
    <w:rsidRoot w:val="A7F73C99"/>
    <w:rsid w:val="00064A91"/>
    <w:rsid w:val="000718C4"/>
    <w:rsid w:val="000779B0"/>
    <w:rsid w:val="00180CCE"/>
    <w:rsid w:val="00185959"/>
    <w:rsid w:val="001D6F8D"/>
    <w:rsid w:val="001E4E23"/>
    <w:rsid w:val="001E510D"/>
    <w:rsid w:val="001F28C1"/>
    <w:rsid w:val="001F4EC0"/>
    <w:rsid w:val="00213789"/>
    <w:rsid w:val="002A6E07"/>
    <w:rsid w:val="0032095C"/>
    <w:rsid w:val="0034456B"/>
    <w:rsid w:val="00356FA5"/>
    <w:rsid w:val="00366624"/>
    <w:rsid w:val="003D2F77"/>
    <w:rsid w:val="004C755C"/>
    <w:rsid w:val="004D515A"/>
    <w:rsid w:val="004D5572"/>
    <w:rsid w:val="0050273F"/>
    <w:rsid w:val="005059D8"/>
    <w:rsid w:val="00513897"/>
    <w:rsid w:val="00530C81"/>
    <w:rsid w:val="005C43A2"/>
    <w:rsid w:val="005E64FB"/>
    <w:rsid w:val="005F5987"/>
    <w:rsid w:val="00602EED"/>
    <w:rsid w:val="00615D6D"/>
    <w:rsid w:val="006B0D64"/>
    <w:rsid w:val="006F49CE"/>
    <w:rsid w:val="00717B6B"/>
    <w:rsid w:val="00731FC7"/>
    <w:rsid w:val="00740E64"/>
    <w:rsid w:val="00754F6E"/>
    <w:rsid w:val="007A4101"/>
    <w:rsid w:val="007B5C26"/>
    <w:rsid w:val="008232A9"/>
    <w:rsid w:val="0086094A"/>
    <w:rsid w:val="00877164"/>
    <w:rsid w:val="00896ADB"/>
    <w:rsid w:val="008F4A07"/>
    <w:rsid w:val="009A2744"/>
    <w:rsid w:val="009C2B9C"/>
    <w:rsid w:val="00A460AA"/>
    <w:rsid w:val="00A54A37"/>
    <w:rsid w:val="00A70448"/>
    <w:rsid w:val="00AA19F3"/>
    <w:rsid w:val="00AC28EE"/>
    <w:rsid w:val="00AC3F0E"/>
    <w:rsid w:val="00B36E61"/>
    <w:rsid w:val="00B409FF"/>
    <w:rsid w:val="00B4133E"/>
    <w:rsid w:val="00B54DE8"/>
    <w:rsid w:val="00B63E9E"/>
    <w:rsid w:val="00BC0439"/>
    <w:rsid w:val="00C04C21"/>
    <w:rsid w:val="00C07C2F"/>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9201287"/>
    <w:rsid w:val="0D5B5B78"/>
    <w:rsid w:val="0FC80124"/>
    <w:rsid w:val="136F98C7"/>
    <w:rsid w:val="17427E68"/>
    <w:rsid w:val="1755065F"/>
    <w:rsid w:val="1AFC29C9"/>
    <w:rsid w:val="1CA52F2E"/>
    <w:rsid w:val="1DFE370B"/>
    <w:rsid w:val="1E3630B9"/>
    <w:rsid w:val="26EEC2B5"/>
    <w:rsid w:val="29472309"/>
    <w:rsid w:val="2B406E77"/>
    <w:rsid w:val="2C2A0C43"/>
    <w:rsid w:val="2D1E73A5"/>
    <w:rsid w:val="32717154"/>
    <w:rsid w:val="34B63260"/>
    <w:rsid w:val="37FDA7E2"/>
    <w:rsid w:val="3A314D88"/>
    <w:rsid w:val="3A746883"/>
    <w:rsid w:val="3CA15DE9"/>
    <w:rsid w:val="3FE61EE5"/>
    <w:rsid w:val="406508EE"/>
    <w:rsid w:val="408D6263"/>
    <w:rsid w:val="41B40CEE"/>
    <w:rsid w:val="48317291"/>
    <w:rsid w:val="485F7024"/>
    <w:rsid w:val="48E70666"/>
    <w:rsid w:val="4C6877E5"/>
    <w:rsid w:val="4D6A468D"/>
    <w:rsid w:val="4EA86137"/>
    <w:rsid w:val="56CA7FD0"/>
    <w:rsid w:val="57FA38D1"/>
    <w:rsid w:val="5F7D3333"/>
    <w:rsid w:val="61385890"/>
    <w:rsid w:val="6504510C"/>
    <w:rsid w:val="687436E1"/>
    <w:rsid w:val="6DA45C50"/>
    <w:rsid w:val="6E9A7825"/>
    <w:rsid w:val="6F670F9B"/>
    <w:rsid w:val="71DE3C00"/>
    <w:rsid w:val="737450E0"/>
    <w:rsid w:val="74054476"/>
    <w:rsid w:val="742F38C4"/>
    <w:rsid w:val="74AB66DC"/>
    <w:rsid w:val="74C4154C"/>
    <w:rsid w:val="75956FFF"/>
    <w:rsid w:val="77AA2D01"/>
    <w:rsid w:val="7CDE1DBD"/>
    <w:rsid w:val="7D943A85"/>
    <w:rsid w:val="7DB0448C"/>
    <w:rsid w:val="7E5F9AA4"/>
    <w:rsid w:val="8FFC8888"/>
    <w:rsid w:val="A7F73C99"/>
    <w:rsid w:val="BFFE3BF4"/>
    <w:rsid w:val="DFEBDA37"/>
    <w:rsid w:val="EF6FCA1D"/>
    <w:rsid w:val="EFFF57D6"/>
    <w:rsid w:val="FD33A2D0"/>
    <w:rsid w:val="FF7FA20F"/>
    <w:rsid w:val="FFFE81A3"/>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771</Words>
  <Characters>4397</Characters>
  <Lines>36</Lines>
  <Paragraphs>10</Paragraphs>
  <TotalTime>1574</TotalTime>
  <ScaleCrop>false</ScaleCrop>
  <LinksUpToDate>false</LinksUpToDate>
  <CharactersWithSpaces>5158</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2024-07-24T11:26:00Z</dcterms:created>
  <dc:creator>uos</dc:creator>
  <cp:lastModifiedBy>user</cp:lastModifiedBy>
  <cp:lastPrinted>2025-10-21T18:22:00Z</cp:lastPrinted>
  <dcterms:modified xsi:type="dcterms:W3CDTF">2025-10-24T15:56:43Z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62BEC4820EE04D218B436F3F82916A05_13</vt:lpwstr>
  </property>
  <property fmtid="{D5CDD505-2E9C-101B-9397-08002B2CF9AE}" pid="4" name="KSOTemplateDocerSaveRecord">
    <vt:lpwstr>eyJoZGlkIjoiYWQ3NzhlOTQwZWZkNTkwZTI4NGNmOTdjMzY1YTYwMmYifQ==</vt:lpwstr>
  </property>
</Properties>
</file>