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墨脱县交通运输局2024年度部门决算公开报告</w:t>
      </w:r>
    </w:p>
    <w:p>
      <w:pPr>
        <w:spacing w:line="578" w:lineRule="exact"/>
        <w:jc w:val="center"/>
        <w:rPr>
          <w:rFonts w:hint="eastAsia" w:ascii="黑体" w:hAnsi="ˎ̥" w:eastAsia="黑体"/>
          <w:b/>
          <w:sz w:val="32"/>
          <w:szCs w:val="32"/>
        </w:rPr>
      </w:pPr>
    </w:p>
    <w:p>
      <w:pPr>
        <w:spacing w:line="578" w:lineRule="exact"/>
        <w:jc w:val="center"/>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  录</w:t>
      </w:r>
    </w:p>
    <w:p>
      <w:pPr>
        <w:pStyle w:val="16"/>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rPr>
        <w:t>第一部分 基本情况</w:t>
      </w:r>
      <w:r>
        <w:rPr>
          <w:sz w:val="32"/>
          <w:szCs w:val="32"/>
        </w:rPr>
        <w:fldChar w:fldCharType="end"/>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一、部门（单位）职责</w:t>
      </w:r>
      <w:r>
        <w:rPr>
          <w:rFonts w:hint="eastAsia" w:ascii="仿宋" w:hAnsi="仿宋" w:eastAsia="仿宋" w:cs="仿宋"/>
          <w:sz w:val="32"/>
          <w:szCs w:val="32"/>
        </w:rPr>
        <w:fldChar w:fldCharType="end"/>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fldChar w:fldCharType="end"/>
      </w:r>
    </w:p>
    <w:p>
      <w:pPr>
        <w:pStyle w:val="16"/>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年度部门决算公开表</w:t>
      </w:r>
      <w:r>
        <w:rPr>
          <w:sz w:val="32"/>
          <w:szCs w:val="32"/>
        </w:rPr>
        <w:fldChar w:fldCharType="end"/>
      </w:r>
    </w:p>
    <w:p>
      <w:pPr>
        <w:pStyle w:val="16"/>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rPr>
        <w:t>第三部分</w:t>
      </w:r>
      <w:r>
        <w:rPr>
          <w:rFonts w:hint="eastAsia"/>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年度部门决算情况说明</w:t>
      </w:r>
      <w:r>
        <w:rPr>
          <w:sz w:val="32"/>
          <w:szCs w:val="32"/>
        </w:rPr>
        <w:fldChar w:fldCharType="end"/>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fldChar w:fldCharType="end"/>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fldChar w:fldCharType="end"/>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fldChar w:fldCharType="end"/>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四、财政拨款收入支出决算</w:t>
      </w:r>
      <w:r>
        <w:rPr>
          <w:rFonts w:hint="eastAsia" w:ascii="仿宋" w:hAnsi="仿宋" w:eastAsia="仿宋" w:cs="仿宋"/>
          <w:bCs/>
          <w:sz w:val="32"/>
          <w:szCs w:val="32"/>
          <w:lang w:val="en-US" w:eastAsia="zh-CN"/>
        </w:rPr>
        <w:t>总体</w:t>
      </w:r>
      <w:r>
        <w:rPr>
          <w:rFonts w:hint="eastAsia" w:ascii="仿宋" w:hAnsi="仿宋" w:eastAsia="仿宋" w:cs="仿宋"/>
          <w:bCs/>
          <w:sz w:val="32"/>
          <w:szCs w:val="32"/>
        </w:rPr>
        <w:t>情况说明</w:t>
      </w:r>
      <w:r>
        <w:rPr>
          <w:rFonts w:hint="eastAsia" w:ascii="仿宋" w:hAnsi="仿宋" w:eastAsia="仿宋" w:cs="仿宋"/>
          <w:sz w:val="32"/>
          <w:szCs w:val="32"/>
        </w:rPr>
        <w:fldChar w:fldCharType="end"/>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fldChar w:fldCharType="end"/>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sz w:val="32"/>
          <w:szCs w:val="32"/>
        </w:rPr>
        <w:fldChar w:fldCharType="end"/>
      </w:r>
    </w:p>
    <w:p>
      <w:pPr>
        <w:pStyle w:val="17"/>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政府性基金预算财政拨款支出决算情况说明</w:t>
      </w:r>
    </w:p>
    <w:p>
      <w:pPr>
        <w:pStyle w:val="17"/>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国有资本经营预算财政拨款支出决算情况说明</w:t>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fldChar w:fldCharType="end"/>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fldChar w:fldCharType="end"/>
      </w:r>
    </w:p>
    <w:p>
      <w:pPr>
        <w:pStyle w:val="17"/>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十一、其他重要事项情况说明</w:t>
      </w:r>
    </w:p>
    <w:p>
      <w:pPr>
        <w:pStyle w:val="16"/>
        <w:tabs>
          <w:tab w:val="right" w:leader="dot" w:pos="8306"/>
        </w:tabs>
        <w:spacing w:line="578" w:lineRule="exact"/>
        <w:rPr>
          <w:rFonts w:hint="eastAsia" w:ascii="黑体" w:hAnsi="ˎ̥"/>
          <w:b/>
          <w:sz w:val="32"/>
          <w:szCs w:val="32"/>
        </w:rPr>
      </w:pPr>
      <w:r>
        <w:rPr>
          <w:sz w:val="32"/>
          <w:szCs w:val="32"/>
        </w:rP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rPr>
        <w:t>第四部分  名词解释</w:t>
      </w:r>
      <w:r>
        <w:rPr>
          <w:sz w:val="32"/>
          <w:szCs w:val="32"/>
        </w:rPr>
        <w:fldChar w:fldCharType="end"/>
      </w:r>
      <w:bookmarkEnd w:id="0"/>
    </w:p>
    <w:p>
      <w:pPr>
        <w:spacing w:line="578" w:lineRule="exact"/>
        <w:jc w:val="both"/>
        <w:rPr>
          <w:rFonts w:hint="eastAsia" w:ascii="黑体" w:hAnsi="ˎ̥" w:eastAsia="黑体"/>
          <w:sz w:val="32"/>
          <w:szCs w:val="32"/>
        </w:rPr>
      </w:pPr>
      <w:bookmarkStart w:id="1" w:name="_Toc10720_WPSOffice_Level1"/>
      <w:bookmarkStart w:id="2" w:name="_Toc23465_WPSOffice_Level1"/>
      <w:bookmarkStart w:id="3" w:name="_Toc1704_WPSOffice_Level1"/>
      <w:bookmarkStart w:id="4" w:name="_Toc32433_WPSOffice_Level1"/>
      <w:bookmarkStart w:id="5" w:name="_Toc10049_WPSOffice_Level1"/>
      <w:bookmarkStart w:id="6" w:name="_Toc22941_WPSOffice_Level1"/>
      <w:bookmarkStart w:id="7" w:name="_Toc24238_WPSOffice_Level2"/>
      <w:bookmarkStart w:id="8" w:name="_Toc32622_WPSOffice_Level2"/>
      <w:bookmarkStart w:id="9" w:name="_Toc14159_WPSOffice_Level2"/>
      <w:bookmarkStart w:id="10" w:name="_Toc20274_WPSOffice_Level2"/>
      <w:bookmarkStart w:id="11" w:name="_Toc20205_WPSOffice_Level2"/>
      <w:bookmarkStart w:id="12" w:name="_Toc26580_WPSOffice_Level2"/>
    </w:p>
    <w:p>
      <w:pPr>
        <w:spacing w:line="578" w:lineRule="exact"/>
        <w:jc w:val="both"/>
        <w:rPr>
          <w:rFonts w:hint="eastAsia" w:ascii="黑体" w:hAnsi="ˎ̥" w:eastAsia="黑体"/>
          <w:sz w:val="32"/>
          <w:szCs w:val="32"/>
        </w:rPr>
      </w:pPr>
    </w:p>
    <w:p>
      <w:pPr>
        <w:spacing w:line="578" w:lineRule="exact"/>
        <w:jc w:val="center"/>
        <w:rPr>
          <w:rFonts w:hint="eastAsia" w:ascii="黑体" w:hAnsi="ˎ̥" w:eastAsia="黑体"/>
          <w:sz w:val="32"/>
          <w:szCs w:val="32"/>
        </w:rPr>
      </w:pPr>
      <w:r>
        <w:rPr>
          <w:rFonts w:hint="eastAsia" w:ascii="黑体" w:hAnsi="ˎ̥" w:eastAsia="黑体"/>
          <w:sz w:val="32"/>
          <w:szCs w:val="32"/>
        </w:rPr>
        <w:t xml:space="preserve">第一部分  </w:t>
      </w:r>
      <w:bookmarkEnd w:id="1"/>
      <w:bookmarkEnd w:id="2"/>
      <w:bookmarkEnd w:id="3"/>
      <w:bookmarkEnd w:id="4"/>
      <w:bookmarkEnd w:id="5"/>
      <w:bookmarkEnd w:id="6"/>
      <w:r>
        <w:rPr>
          <w:rFonts w:hint="eastAsia" w:ascii="黑体" w:hAnsi="ˎ̥" w:eastAsia="黑体"/>
          <w:sz w:val="32"/>
          <w:szCs w:val="32"/>
        </w:rPr>
        <w:t>基本情况</w:t>
      </w:r>
    </w:p>
    <w:p>
      <w:pPr>
        <w:spacing w:line="578" w:lineRule="exact"/>
        <w:ind w:firstLine="640" w:firstLineChars="200"/>
        <w:rPr>
          <w:rFonts w:hint="eastAsia" w:ascii="楷体" w:hAnsi="楷体" w:eastAsia="楷体" w:cs="楷体"/>
          <w:sz w:val="32"/>
          <w:szCs w:val="32"/>
        </w:rPr>
      </w:pPr>
    </w:p>
    <w:p>
      <w:p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一、部门</w:t>
      </w:r>
      <w:bookmarkEnd w:id="7"/>
      <w:r>
        <w:rPr>
          <w:rFonts w:hint="eastAsia" w:ascii="黑体" w:hAnsi="黑体" w:eastAsia="黑体" w:cs="黑体"/>
          <w:sz w:val="32"/>
          <w:szCs w:val="32"/>
        </w:rPr>
        <w:t>（单位）职责</w:t>
      </w:r>
      <w:bookmarkEnd w:id="8"/>
      <w:bookmarkEnd w:id="9"/>
      <w:bookmarkEnd w:id="10"/>
      <w:bookmarkEnd w:id="11"/>
      <w:bookmarkEnd w:id="12"/>
    </w:p>
    <w:p>
      <w:pPr>
        <w:ind w:firstLine="640" w:firstLineChars="200"/>
        <w:rPr>
          <w:rFonts w:hint="eastAsia" w:ascii="仿宋_GB2312" w:hAnsi="仿宋_GB2312" w:eastAsia="仿宋_GB2312" w:cs="仿宋_GB2312"/>
          <w:b/>
          <w:sz w:val="32"/>
          <w:szCs w:val="32"/>
        </w:rPr>
      </w:pPr>
      <w:bookmarkStart w:id="13" w:name="_Toc24059_WPSOffice_Level2"/>
      <w:bookmarkStart w:id="14" w:name="_Toc4833_WPSOffice_Level2"/>
      <w:bookmarkStart w:id="15" w:name="_Toc17796_WPSOffice_Level2"/>
      <w:bookmarkStart w:id="16" w:name="_Toc6572_WPSOffice_Level2"/>
      <w:bookmarkStart w:id="17" w:name="_Toc24474_WPSOffice_Level2"/>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）贯彻执行国家、自治区和市有关交通工作的方针政策和法律法规。制定并监督实施全县公路等行业规划。参与拟订我县物流业发展战略和规划。指导我县公路行业有关体质机制改革。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）承担涉及全县综合运输体系的规划协调工作，会同有关部门组织编制综合运输体系规划，指导交通运输枢纽规划和管理。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）协调上级主管部门对全县道路运输市场进行监管，组织拟订全县道路运输有关政策、准入制度、技术标准和运营规范并监督实施。指导城乡客运及有关设施规划和管理工作，指导出租汽车行业管理工作。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）负责提出全县公路固定资产投资规模和方向、财政性资金安排意见。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）承担公路建设市场监管责任。执行自治区、市交通运输部门制定的公路工程建设相关政策、制度、技术标准并监督实施。组织协调公路有关重点工程建设和工程质量、安全生产监督管理工作。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）承担全县公路行业安全生产和应急管理工作。按规定组织协调国家重点物资和紧急客货运输。承办本县国防动员委员会交通战备有关工作。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）承担本县交通运输信息化建设，监测分析运行情况，开展相关统计工作，发布有关信息。指导本县公路行业环境保护和节能减排工作。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）负责全县公路建设规划、勘测、设计和管理，并对公路工程建设实行质量监督。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）贯彻上级交通运输部门关于公路养护管理方针政策，搞好公路养护，强化路政管理，确保公路安全畅通。指导乡镇道路的管理和维护，指导全县交通运输基础设施的管理和维护。</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）承办县政府交办的其他事项。</w:t>
      </w:r>
    </w:p>
    <w:p>
      <w:p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二、机构设置</w:t>
      </w:r>
      <w:bookmarkEnd w:id="13"/>
      <w:bookmarkEnd w:id="14"/>
      <w:bookmarkEnd w:id="15"/>
      <w:bookmarkEnd w:id="16"/>
      <w:bookmarkEnd w:id="17"/>
    </w:p>
    <w:p>
      <w:pPr>
        <w:ind w:firstLine="640" w:firstLineChars="200"/>
        <w:rPr>
          <w:rFonts w:hint="eastAsia" w:ascii="仿宋_GB2312" w:hAnsi="仿宋_GB2312" w:eastAsia="仿宋_GB2312" w:cs="仿宋_GB2312"/>
          <w:sz w:val="32"/>
          <w:szCs w:val="32"/>
          <w:lang w:val="en-US" w:eastAsia="zh-CN"/>
        </w:rPr>
      </w:pPr>
      <w:bookmarkStart w:id="18" w:name="_Toc30690_WPSOffice_Level1"/>
      <w:bookmarkStart w:id="19" w:name="_Toc15521_WPSOffice_Level1"/>
      <w:bookmarkStart w:id="20" w:name="_Toc6234_WPSOffice_Level1"/>
      <w:bookmarkStart w:id="21" w:name="_Toc28253_WPSOffice_Level1"/>
      <w:bookmarkStart w:id="22" w:name="_Toc30451_WPSOffice_Level1"/>
      <w:bookmarkStart w:id="23" w:name="_Toc8164_WPSOffice_Level1"/>
      <w:bookmarkStart w:id="24" w:name="_Toc6211_WPSOffice_Level2"/>
      <w:bookmarkStart w:id="25" w:name="_Toc32472_WPSOffice_Level2"/>
      <w:bookmarkStart w:id="26" w:name="_Toc4029_WPSOffice_Level2"/>
      <w:bookmarkStart w:id="27" w:name="_Toc11518_WPSOffice_Level2"/>
      <w:bookmarkStart w:id="28" w:name="_Toc32695_WPSOffice_Level2"/>
      <w:bookmarkStart w:id="29" w:name="_Toc8867_WPSOffice_Level2"/>
      <w:r>
        <w:rPr>
          <w:rFonts w:hint="eastAsia" w:ascii="仿宋_GB2312" w:hAnsi="仿宋_GB2312" w:eastAsia="仿宋_GB2312" w:cs="仿宋_GB2312"/>
          <w:sz w:val="32"/>
          <w:szCs w:val="32"/>
        </w:rPr>
        <w:t>2024年，根据中共墨脱县委员会办公室 墨脱县人民政府办公室关于印发《墨脱县交通运输局职能配置、内设机构和人员编制规定》的通知（墨委办〔2024〕38号）文件，墨脱县交通运输局为正科级建制，属县人民政府工作部门。</w:t>
      </w:r>
      <w:r>
        <w:rPr>
          <w:rFonts w:hint="eastAsia" w:ascii="仿宋_GB2312" w:hAnsi="仿宋_GB2312" w:eastAsia="仿宋_GB2312" w:cs="仿宋_GB2312"/>
          <w:sz w:val="32"/>
          <w:szCs w:val="32"/>
          <w:lang w:val="en-US" w:eastAsia="zh-CN"/>
        </w:rPr>
        <w:t>2024年纳入决算</w:t>
      </w:r>
      <w:r>
        <w:rPr>
          <w:rFonts w:hint="eastAsia" w:ascii="仿宋_GB2312" w:hAnsi="仿宋_GB2312" w:eastAsia="仿宋_GB2312" w:cs="仿宋_GB2312"/>
          <w:sz w:val="32"/>
          <w:szCs w:val="32"/>
        </w:rPr>
        <w:t>编制范围的单位共</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p>
    <w:p>
      <w:pPr>
        <w:spacing w:line="578" w:lineRule="exact"/>
        <w:jc w:val="center"/>
        <w:rPr>
          <w:rFonts w:hint="eastAsia" w:ascii="黑体" w:hAnsi="ˎ̥" w:eastAsia="黑体"/>
          <w:sz w:val="32"/>
          <w:szCs w:val="32"/>
          <w:lang w:eastAsia="zh-CN"/>
        </w:rPr>
      </w:pPr>
    </w:p>
    <w:p>
      <w:pPr>
        <w:spacing w:line="578" w:lineRule="exact"/>
        <w:jc w:val="center"/>
        <w:rPr>
          <w:rFonts w:hint="eastAsia" w:ascii="黑体" w:hAnsi="ˎ̥" w:eastAsia="黑体"/>
          <w:sz w:val="32"/>
          <w:szCs w:val="32"/>
          <w:lang w:eastAsia="zh-CN"/>
        </w:rPr>
      </w:pPr>
    </w:p>
    <w:p>
      <w:pPr>
        <w:spacing w:line="578" w:lineRule="exact"/>
        <w:jc w:val="center"/>
        <w:rPr>
          <w:rFonts w:hint="eastAsia" w:ascii="黑体" w:hAnsi="ˎ̥" w:eastAsia="黑体"/>
          <w:sz w:val="32"/>
          <w:szCs w:val="32"/>
        </w:rPr>
      </w:pP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年度部门决算公开报表</w:t>
      </w:r>
      <w:bookmarkEnd w:id="18"/>
      <w:bookmarkEnd w:id="19"/>
      <w:bookmarkEnd w:id="20"/>
      <w:bookmarkEnd w:id="21"/>
      <w:bookmarkEnd w:id="22"/>
      <w:bookmarkEnd w:id="23"/>
    </w:p>
    <w:p>
      <w:pPr>
        <w:spacing w:line="578" w:lineRule="exact"/>
        <w:ind w:firstLine="645"/>
        <w:rPr>
          <w:rFonts w:hint="eastAsia" w:ascii="黑体" w:hAnsi="黑体" w:eastAsia="黑体" w:cs="黑体"/>
          <w:sz w:val="32"/>
          <w:szCs w:val="32"/>
        </w:rPr>
      </w:pPr>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一、收入支出决算公开表</w:t>
      </w:r>
      <w:bookmarkEnd w:id="24"/>
      <w:bookmarkEnd w:id="25"/>
      <w:bookmarkEnd w:id="26"/>
      <w:bookmarkEnd w:id="27"/>
      <w:bookmarkEnd w:id="28"/>
      <w:bookmarkEnd w:id="29"/>
    </w:p>
    <w:p>
      <w:pPr>
        <w:spacing w:line="578" w:lineRule="exact"/>
        <w:ind w:firstLine="645"/>
        <w:rPr>
          <w:rFonts w:hint="eastAsia" w:ascii="黑体" w:hAnsi="黑体" w:eastAsia="黑体" w:cs="黑体"/>
          <w:sz w:val="32"/>
          <w:szCs w:val="32"/>
        </w:rPr>
      </w:pPr>
      <w:bookmarkStart w:id="30" w:name="_Toc26621_WPSOffice_Level2"/>
      <w:bookmarkStart w:id="31" w:name="_Toc14349_WPSOffice_Level2"/>
      <w:bookmarkStart w:id="32" w:name="_Toc30334_WPSOffice_Level2"/>
      <w:bookmarkStart w:id="33" w:name="_Toc23139_WPSOffice_Level2"/>
      <w:bookmarkStart w:id="34" w:name="_Toc28622_WPSOffice_Level2"/>
      <w:bookmarkStart w:id="35" w:name="_Toc25608_WPSOffice_Level2"/>
      <w:r>
        <w:rPr>
          <w:rFonts w:hint="eastAsia" w:ascii="黑体" w:hAnsi="黑体" w:eastAsia="黑体" w:cs="黑体"/>
          <w:sz w:val="32"/>
          <w:szCs w:val="32"/>
        </w:rPr>
        <w:t>二、收入决算公开表</w:t>
      </w:r>
      <w:bookmarkEnd w:id="30"/>
      <w:bookmarkEnd w:id="31"/>
      <w:bookmarkEnd w:id="32"/>
      <w:bookmarkEnd w:id="33"/>
      <w:bookmarkEnd w:id="34"/>
      <w:bookmarkEnd w:id="35"/>
      <w:bookmarkStart w:id="36" w:name="_Toc17858_WPSOffice_Level2"/>
      <w:bookmarkStart w:id="37" w:name="_Toc17626_WPSOffice_Level2"/>
      <w:bookmarkStart w:id="38" w:name="_Toc14658_WPSOffice_Level2"/>
      <w:bookmarkStart w:id="39" w:name="_Toc3262_WPSOffice_Level2"/>
      <w:bookmarkStart w:id="40" w:name="_Toc5489_WPSOffice_Level2"/>
      <w:bookmarkStart w:id="41" w:name="_Toc13854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三、支出决算公开表</w:t>
      </w:r>
      <w:bookmarkEnd w:id="36"/>
      <w:bookmarkEnd w:id="37"/>
      <w:bookmarkEnd w:id="38"/>
      <w:bookmarkEnd w:id="39"/>
      <w:bookmarkEnd w:id="40"/>
      <w:bookmarkEnd w:id="41"/>
      <w:bookmarkStart w:id="42" w:name="_Toc23591_WPSOffice_Level2"/>
      <w:bookmarkStart w:id="43" w:name="_Toc4265_WPSOffice_Level2"/>
      <w:bookmarkStart w:id="44" w:name="_Toc13701_WPSOffice_Level2"/>
      <w:bookmarkStart w:id="45" w:name="_Toc23493_WPSOffice_Level2"/>
      <w:bookmarkStart w:id="46" w:name="_Toc21415_WPSOffice_Level2"/>
      <w:bookmarkStart w:id="47" w:name="_Toc7988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四、财政拨款收入支出决算公开表</w:t>
      </w:r>
      <w:bookmarkEnd w:id="42"/>
      <w:bookmarkEnd w:id="43"/>
      <w:bookmarkEnd w:id="44"/>
      <w:bookmarkEnd w:id="45"/>
      <w:bookmarkEnd w:id="46"/>
      <w:bookmarkEnd w:id="47"/>
    </w:p>
    <w:p>
      <w:pPr>
        <w:spacing w:line="578" w:lineRule="exact"/>
        <w:ind w:firstLine="645"/>
        <w:rPr>
          <w:rFonts w:hint="eastAsia" w:ascii="黑体" w:hAnsi="黑体" w:eastAsia="黑体" w:cs="黑体"/>
          <w:sz w:val="32"/>
          <w:szCs w:val="32"/>
        </w:rPr>
      </w:pPr>
      <w:bookmarkStart w:id="48" w:name="_Toc7879_WPSOffice_Level2"/>
      <w:bookmarkStart w:id="49" w:name="_Toc25166_WPSOffice_Level2"/>
      <w:bookmarkStart w:id="50" w:name="_Toc22783_WPSOffice_Level2"/>
      <w:bookmarkStart w:id="51" w:name="_Toc23829_WPSOffice_Level2"/>
      <w:bookmarkStart w:id="52" w:name="_Toc13516_WPSOffice_Level2"/>
      <w:bookmarkStart w:id="53" w:name="_Toc2158_WPSOffice_Level2"/>
      <w:r>
        <w:rPr>
          <w:rFonts w:hint="eastAsia" w:ascii="黑体" w:hAnsi="黑体" w:eastAsia="黑体" w:cs="黑体"/>
          <w:sz w:val="32"/>
          <w:szCs w:val="32"/>
        </w:rPr>
        <w:t>五、一般公共预算财政拨款收入支出决算</w:t>
      </w:r>
      <w:bookmarkEnd w:id="48"/>
      <w:bookmarkEnd w:id="49"/>
      <w:bookmarkEnd w:id="50"/>
      <w:bookmarkEnd w:id="51"/>
      <w:r>
        <w:rPr>
          <w:rFonts w:hint="eastAsia" w:ascii="黑体" w:hAnsi="黑体" w:eastAsia="黑体" w:cs="黑体"/>
          <w:sz w:val="32"/>
          <w:szCs w:val="32"/>
        </w:rPr>
        <w:t>公开表</w:t>
      </w:r>
      <w:bookmarkEnd w:id="52"/>
      <w:bookmarkEnd w:id="53"/>
      <w:bookmarkStart w:id="54" w:name="_Toc17833_WPSOffice_Level2"/>
      <w:bookmarkStart w:id="55" w:name="_Toc2632_WPSOffice_Level2"/>
      <w:bookmarkStart w:id="56" w:name="_Toc17283_WPSOffice_Level2"/>
      <w:bookmarkStart w:id="57" w:name="_Toc25362_WPSOffice_Level2"/>
      <w:bookmarkStart w:id="58" w:name="_Toc8373_WPSOffice_Level2"/>
      <w:bookmarkStart w:id="59" w:name="_Toc5343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六、一般公共预算财政拨款基本支出决算</w:t>
      </w:r>
      <w:bookmarkEnd w:id="54"/>
      <w:bookmarkEnd w:id="55"/>
      <w:bookmarkEnd w:id="56"/>
      <w:bookmarkEnd w:id="57"/>
      <w:bookmarkEnd w:id="58"/>
      <w:bookmarkEnd w:id="59"/>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bookmarkStart w:id="60" w:name="_Toc6020_WPSOffice_Level2"/>
      <w:bookmarkStart w:id="61" w:name="_Toc13345_WPSOffice_Level2"/>
      <w:bookmarkStart w:id="62" w:name="_Toc11799_WPSOffice_Level2"/>
      <w:bookmarkStart w:id="63" w:name="_Toc5594_WPSOffice_Level2"/>
      <w:bookmarkStart w:id="64" w:name="_Toc21310_WPSOffice_Level2"/>
      <w:bookmarkStart w:id="65" w:name="_Toc1533_WPSOffice_Level2"/>
      <w:r>
        <w:rPr>
          <w:rFonts w:hint="eastAsia" w:ascii="黑体" w:hAnsi="黑体" w:eastAsia="黑体" w:cs="黑体"/>
          <w:sz w:val="32"/>
          <w:szCs w:val="32"/>
        </w:rPr>
        <w:t>七、政府性基金预算财政拨款收入支出决算</w:t>
      </w:r>
      <w:bookmarkEnd w:id="60"/>
      <w:bookmarkEnd w:id="61"/>
      <w:bookmarkEnd w:id="62"/>
      <w:bookmarkEnd w:id="63"/>
      <w:bookmarkEnd w:id="64"/>
      <w:bookmarkEnd w:id="65"/>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r>
        <w:rPr>
          <w:rFonts w:hint="eastAsia" w:ascii="黑体" w:hAnsi="黑体" w:eastAsia="黑体" w:cs="黑体"/>
          <w:sz w:val="32"/>
          <w:szCs w:val="32"/>
        </w:rPr>
        <w:t>八、国有资本经营预算财政拨款收入支出决算公开表</w:t>
      </w:r>
    </w:p>
    <w:p>
      <w:pPr>
        <w:spacing w:line="578" w:lineRule="exact"/>
        <w:ind w:firstLine="640"/>
        <w:rPr>
          <w:rFonts w:hint="eastAsia" w:ascii="黑体" w:hAnsi="黑体" w:eastAsia="黑体" w:cs="黑体"/>
          <w:sz w:val="32"/>
          <w:szCs w:val="32"/>
        </w:rPr>
      </w:pPr>
      <w:bookmarkStart w:id="66" w:name="_Toc9377_WPSOffice_Level2"/>
      <w:bookmarkStart w:id="67" w:name="_Toc29886_WPSOffice_Level2"/>
      <w:bookmarkStart w:id="68" w:name="_Toc19961_WPSOffice_Level2"/>
      <w:bookmarkStart w:id="69" w:name="_Toc1820_WPSOffice_Level2"/>
      <w:r>
        <w:rPr>
          <w:rFonts w:hint="eastAsia" w:ascii="黑体" w:hAnsi="黑体" w:eastAsia="黑体" w:cs="黑体"/>
          <w:sz w:val="32"/>
          <w:szCs w:val="32"/>
        </w:rPr>
        <w:t>九、财政拨款“三公”经费支出决算</w:t>
      </w:r>
      <w:bookmarkEnd w:id="66"/>
      <w:bookmarkEnd w:id="67"/>
      <w:bookmarkEnd w:id="68"/>
      <w:bookmarkEnd w:id="69"/>
      <w:r>
        <w:rPr>
          <w:rFonts w:hint="eastAsia" w:ascii="黑体" w:hAnsi="黑体" w:eastAsia="黑体" w:cs="黑体"/>
          <w:sz w:val="32"/>
          <w:szCs w:val="32"/>
        </w:rPr>
        <w:t>公开表</w:t>
      </w:r>
    </w:p>
    <w:p>
      <w:pPr>
        <w:spacing w:line="578" w:lineRule="exact"/>
        <w:ind w:firstLine="640"/>
        <w:rPr>
          <w:rFonts w:hint="eastAsia" w:ascii="仿宋" w:hAnsi="仿宋" w:eastAsia="仿宋" w:cs="仿宋"/>
          <w:w w:val="100"/>
          <w:sz w:val="32"/>
          <w:szCs w:val="32"/>
        </w:rPr>
      </w:pPr>
      <w:r>
        <w:rPr>
          <w:rFonts w:hint="eastAsia" w:ascii="仿宋" w:hAnsi="仿宋" w:eastAsia="仿宋" w:cs="仿宋"/>
          <w:w w:val="100"/>
          <w:sz w:val="32"/>
          <w:szCs w:val="32"/>
        </w:rPr>
        <w:t xml:space="preserve">以上报表见附件1。   </w:t>
      </w:r>
    </w:p>
    <w:p>
      <w:pPr>
        <w:spacing w:line="578" w:lineRule="exact"/>
        <w:rPr>
          <w:rFonts w:hint="eastAsia" w:ascii="黑体" w:hAnsi="黑体" w:eastAsia="黑体" w:cs="黑体"/>
          <w:sz w:val="32"/>
          <w:szCs w:val="32"/>
        </w:rPr>
      </w:pPr>
    </w:p>
    <w:p>
      <w:pPr>
        <w:spacing w:line="578" w:lineRule="exact"/>
        <w:jc w:val="center"/>
        <w:rPr>
          <w:rFonts w:hint="eastAsia" w:ascii="黑体" w:hAnsi="ˎ̥" w:eastAsia="黑体"/>
          <w:sz w:val="32"/>
          <w:szCs w:val="32"/>
        </w:rPr>
      </w:pPr>
      <w:bookmarkStart w:id="70" w:name="_Toc28629_WPSOffice_Level1"/>
      <w:bookmarkStart w:id="71" w:name="_Toc31264_WPSOffice_Level1"/>
      <w:bookmarkStart w:id="72" w:name="_Toc27590_WPSOffice_Level1"/>
      <w:bookmarkStart w:id="73" w:name="_Toc4402_WPSOffice_Level1"/>
      <w:bookmarkStart w:id="74" w:name="_Toc29683_WPSOffice_Level1"/>
      <w:bookmarkStart w:id="75" w:name="_Toc16686_WPSOffice_Level1"/>
      <w:r>
        <w:rPr>
          <w:rFonts w:hint="eastAsia" w:ascii="黑体" w:hAnsi="ˎ̥" w:eastAsia="黑体"/>
          <w:sz w:val="32"/>
          <w:szCs w:val="32"/>
        </w:rPr>
        <w:t xml:space="preserve">第三部分  </w:t>
      </w:r>
      <w:r>
        <w:rPr>
          <w:rFonts w:hint="default" w:ascii="黑体" w:hAnsi="ˎ̥" w:eastAsia="黑体"/>
          <w:sz w:val="32"/>
          <w:szCs w:val="32"/>
          <w:lang w:val="en-US"/>
        </w:rPr>
        <w:t>2024</w:t>
      </w:r>
      <w:r>
        <w:rPr>
          <w:rFonts w:hint="eastAsia" w:ascii="黑体" w:hAnsi="ˎ̥" w:eastAsia="黑体"/>
          <w:sz w:val="32"/>
          <w:szCs w:val="32"/>
        </w:rPr>
        <w:t>年度部门决算情况说明</w:t>
      </w:r>
      <w:bookmarkEnd w:id="70"/>
      <w:bookmarkEnd w:id="71"/>
      <w:bookmarkEnd w:id="72"/>
      <w:bookmarkEnd w:id="73"/>
      <w:bookmarkEnd w:id="74"/>
      <w:bookmarkEnd w:id="75"/>
    </w:p>
    <w:p>
      <w:pPr>
        <w:spacing w:line="578" w:lineRule="exact"/>
        <w:jc w:val="center"/>
        <w:rPr>
          <w:rFonts w:hint="eastAsia" w:ascii="黑体" w:hAnsi="ˎ̥" w:eastAsia="黑体"/>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收入支出总体情况说明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2024年收入4580.94万元、支出4580.94万元，与2023年度相比，收、支共计增加1905.69万元</w:t>
      </w:r>
      <w:r>
        <w:rPr>
          <w:rFonts w:hint="eastAsia" w:ascii="仿宋_GB2312" w:hAnsi="仿宋_GB2312" w:eastAsia="仿宋_GB2312" w:cs="仿宋_GB2312"/>
          <w:sz w:val="32"/>
          <w:szCs w:val="32"/>
          <w:lang w:eastAsia="zh-CN"/>
        </w:rPr>
        <w:t>（其中财政拨款收入</w:t>
      </w:r>
      <w:r>
        <w:rPr>
          <w:rFonts w:hint="eastAsia" w:ascii="仿宋_GB2312" w:hAnsi="仿宋_GB2312" w:eastAsia="仿宋_GB2312" w:cs="仿宋_GB2312"/>
          <w:sz w:val="32"/>
          <w:szCs w:val="32"/>
          <w:lang w:val="en-US" w:eastAsia="zh-CN"/>
        </w:rPr>
        <w:t>1855.63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、非财政拨付收入</w:t>
      </w:r>
      <w:r>
        <w:rPr>
          <w:rFonts w:hint="eastAsia" w:ascii="仿宋_GB2312" w:hAnsi="仿宋_GB2312" w:eastAsia="仿宋_GB2312" w:cs="仿宋_GB2312"/>
          <w:sz w:val="32"/>
          <w:szCs w:val="32"/>
          <w:lang w:val="en-US" w:eastAsia="zh-CN"/>
        </w:rPr>
        <w:t>50.06万元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，增加71.23%。主要一是2024年收到波巴农村公路改建项目资金1510.25万元，二是收到林芝市交运局农村公路水毁修复资金404.45万元。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（一</w:t>
      </w:r>
      <w:r>
        <w:rPr>
          <w:rFonts w:ascii="楷体" w:hAnsi="楷体" w:eastAsia="楷体" w:cs="楷体"/>
          <w:sz w:val="32"/>
          <w:szCs w:val="32"/>
        </w:rPr>
        <w:t>）</w:t>
      </w:r>
      <w:r>
        <w:rPr>
          <w:rFonts w:hint="eastAsia" w:ascii="楷体" w:hAnsi="楷体" w:eastAsia="楷体" w:cs="楷体"/>
          <w:sz w:val="32"/>
          <w:szCs w:val="32"/>
        </w:rPr>
        <w:t>收入</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本年收入</w:t>
      </w:r>
      <w:r>
        <w:rPr>
          <w:rFonts w:hint="default" w:ascii="仿宋_GB2312" w:hAnsi="仿宋_GB2312" w:eastAsia="仿宋_GB2312" w:cs="仿宋_GB2312"/>
          <w:sz w:val="32"/>
          <w:szCs w:val="32"/>
          <w:lang w:val="en-US"/>
        </w:rPr>
        <w:t>4349.58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年初结转结余</w:t>
      </w:r>
      <w:r>
        <w:rPr>
          <w:rFonts w:hint="eastAsia" w:ascii="仿宋_GB2312" w:hAnsi="仿宋_GB2312" w:eastAsia="仿宋_GB2312" w:cs="仿宋_GB2312"/>
          <w:sz w:val="32"/>
          <w:szCs w:val="32"/>
          <w:lang w:val="en-US"/>
        </w:rPr>
        <w:t>231.36</w:t>
      </w:r>
      <w:r>
        <w:rPr>
          <w:rFonts w:hint="eastAsia" w:ascii="仿宋_GB2312" w:hAnsi="仿宋_GB2312" w:eastAsia="仿宋_GB2312" w:cs="仿宋_GB2312"/>
          <w:sz w:val="32"/>
          <w:szCs w:val="32"/>
        </w:rPr>
        <w:t>万元，主要是墨脱县德尔贡村果辛安置点临时通外道路项目</w:t>
      </w:r>
      <w:r>
        <w:rPr>
          <w:rFonts w:hint="eastAsia" w:ascii="仿宋_GB2312" w:hAnsi="仿宋_GB2312" w:eastAsia="仿宋_GB2312" w:cs="仿宋_GB2312"/>
          <w:sz w:val="32"/>
          <w:szCs w:val="32"/>
          <w:lang w:val="en-US" w:eastAsia="zh-CN"/>
        </w:rPr>
        <w:t>3.58万元、</w:t>
      </w:r>
      <w:r>
        <w:rPr>
          <w:rFonts w:hint="eastAsia" w:ascii="仿宋_GB2312" w:hAnsi="仿宋_GB2312" w:eastAsia="仿宋_GB2312" w:cs="仿宋_GB2312"/>
          <w:sz w:val="32"/>
          <w:szCs w:val="32"/>
        </w:rPr>
        <w:t>格当乡德吉尼木登桥梁应急抢修工程</w:t>
      </w:r>
      <w:r>
        <w:rPr>
          <w:rFonts w:hint="eastAsia" w:ascii="仿宋_GB2312" w:hAnsi="仿宋_GB2312" w:eastAsia="仿宋_GB2312" w:cs="仿宋_GB2312"/>
          <w:sz w:val="32"/>
          <w:szCs w:val="32"/>
          <w:lang w:val="en-US" w:eastAsia="zh-CN"/>
        </w:rPr>
        <w:t>218.64万元、</w:t>
      </w:r>
      <w:r>
        <w:rPr>
          <w:rFonts w:hint="eastAsia" w:ascii="仿宋_GB2312" w:hAnsi="仿宋_GB2312" w:eastAsia="仿宋_GB2312" w:cs="仿宋_GB2312"/>
          <w:sz w:val="32"/>
          <w:szCs w:val="32"/>
        </w:rPr>
        <w:t>县城至背崩乡公路安防应急项目</w:t>
      </w:r>
      <w:r>
        <w:rPr>
          <w:rFonts w:hint="eastAsia" w:ascii="仿宋_GB2312" w:hAnsi="仿宋_GB2312" w:eastAsia="仿宋_GB2312" w:cs="仿宋_GB2312"/>
          <w:sz w:val="32"/>
          <w:szCs w:val="32"/>
          <w:lang w:val="en-US" w:eastAsia="zh-CN"/>
        </w:rPr>
        <w:t>9.14万元</w:t>
      </w:r>
      <w:r>
        <w:rPr>
          <w:rFonts w:hint="eastAsia" w:ascii="仿宋_GB2312" w:hAnsi="仿宋_GB2312" w:eastAsia="仿宋_GB2312" w:cs="仿宋_GB2312"/>
          <w:sz w:val="32"/>
          <w:szCs w:val="32"/>
        </w:rPr>
        <w:t>，较</w:t>
      </w:r>
      <w:r>
        <w:rPr>
          <w:rFonts w:hint="default" w:ascii="仿宋_GB2312" w:hAnsi="仿宋_GB2312" w:eastAsia="仿宋_GB2312" w:cs="仿宋_GB2312"/>
          <w:sz w:val="32"/>
          <w:szCs w:val="32"/>
          <w:lang w:val="en-US"/>
        </w:rPr>
        <w:t>2023</w:t>
      </w:r>
      <w:r>
        <w:rPr>
          <w:rFonts w:hint="eastAsia" w:ascii="仿宋_GB2312" w:hAnsi="仿宋_GB2312" w:eastAsia="仿宋_GB2312" w:cs="仿宋_GB2312"/>
          <w:sz w:val="32"/>
          <w:szCs w:val="32"/>
        </w:rPr>
        <w:t>年度决算数减少</w:t>
      </w:r>
      <w:r>
        <w:rPr>
          <w:rFonts w:hint="eastAsia" w:ascii="仿宋_GB2312" w:hAnsi="仿宋_GB2312" w:eastAsia="仿宋_GB2312" w:cs="仿宋_GB2312"/>
          <w:sz w:val="32"/>
          <w:szCs w:val="32"/>
          <w:lang w:val="en-US" w:eastAsia="zh-CN"/>
        </w:rPr>
        <w:t>1291.78</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84.81</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2023年存量资金投资建设项目较多并且大部分资金都已拨付，2024年结转结余资金为项目尾款</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（二</w:t>
      </w:r>
      <w:r>
        <w:rPr>
          <w:rFonts w:ascii="楷体" w:hAnsi="楷体" w:eastAsia="楷体" w:cs="楷体"/>
          <w:sz w:val="32"/>
          <w:szCs w:val="32"/>
        </w:rPr>
        <w:t>）</w:t>
      </w:r>
      <w:r>
        <w:rPr>
          <w:rFonts w:hint="eastAsia" w:ascii="楷体" w:hAnsi="楷体" w:eastAsia="楷体" w:cs="楷体"/>
          <w:sz w:val="32"/>
          <w:szCs w:val="32"/>
        </w:rPr>
        <w:t>支出</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本年支出</w:t>
      </w:r>
      <w:r>
        <w:rPr>
          <w:rFonts w:hint="default" w:ascii="仿宋_GB2312" w:hAnsi="仿宋_GB2312" w:eastAsia="仿宋_GB2312" w:cs="仿宋_GB2312"/>
          <w:sz w:val="32"/>
          <w:szCs w:val="32"/>
          <w:lang w:val="en-US"/>
        </w:rPr>
        <w:t>4580.94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较</w:t>
      </w: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rPr>
        <w:t>增加1905.69万元，增加71.23%。主要一是2024年收到波巴农村公路改建项目资金1510.25万元，二是收到林芝市交运局农村公路水毁修复资金404.45万元。结余分配</w:t>
      </w:r>
      <w:r>
        <w:rPr>
          <w:rFonts w:hint="default" w:ascii="仿宋_GB2312" w:hAnsi="仿宋_GB2312" w:eastAsia="仿宋_GB2312" w:cs="仿宋_GB2312"/>
          <w:sz w:val="32"/>
          <w:szCs w:val="32"/>
          <w:lang w:val="en-US"/>
        </w:rPr>
        <w:t>0.00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年末结转结余</w:t>
      </w:r>
      <w:r>
        <w:rPr>
          <w:rFonts w:hint="default" w:ascii="仿宋_GB2312" w:hAnsi="仿宋_GB2312" w:eastAsia="仿宋_GB2312" w:cs="仿宋_GB2312"/>
          <w:sz w:val="32"/>
          <w:szCs w:val="32"/>
          <w:lang w:val="en-US"/>
        </w:rPr>
        <w:t>0.00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ind w:firstLine="640" w:firstLineChars="200"/>
        <w:rPr>
          <w:rFonts w:hint="eastAsia" w:ascii="黑体" w:hAnsi="黑体" w:eastAsia="黑体" w:cs="黑体"/>
          <w:bCs/>
          <w:sz w:val="32"/>
          <w:szCs w:val="32"/>
        </w:rPr>
      </w:pPr>
      <w:r>
        <w:rPr>
          <w:rFonts w:hint="eastAsia" w:ascii="黑体" w:hAnsi="黑体" w:eastAsia="黑体" w:cs="黑体"/>
          <w:bCs/>
          <w:sz w:val="32"/>
          <w:szCs w:val="32"/>
        </w:rPr>
        <w:t>二、收入决算情况说明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本年收入</w:t>
      </w:r>
      <w:r>
        <w:rPr>
          <w:rFonts w:hint="default" w:ascii="仿宋_GB2312" w:hAnsi="仿宋_GB2312" w:eastAsia="仿宋_GB2312" w:cs="仿宋_GB2312"/>
          <w:sz w:val="32"/>
          <w:szCs w:val="32"/>
          <w:lang w:val="en-US"/>
        </w:rPr>
        <w:t>4349.58</w:t>
      </w:r>
      <w:r>
        <w:rPr>
          <w:rFonts w:hint="eastAsia" w:ascii="仿宋_GB2312" w:hAnsi="仿宋_GB2312" w:eastAsia="仿宋_GB2312" w:cs="仿宋_GB2312"/>
          <w:sz w:val="32"/>
          <w:szCs w:val="32"/>
        </w:rPr>
        <w:t>万元，其中：财政拨款收入</w:t>
      </w:r>
      <w:r>
        <w:rPr>
          <w:rFonts w:hint="default" w:ascii="仿宋_GB2312" w:hAnsi="仿宋_GB2312" w:eastAsia="仿宋_GB2312" w:cs="仿宋_GB2312"/>
          <w:sz w:val="32"/>
          <w:szCs w:val="32"/>
          <w:lang w:val="en-US"/>
        </w:rPr>
        <w:t>4299.52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98.85</w:t>
      </w:r>
      <w:r>
        <w:rPr>
          <w:rFonts w:hint="eastAsia" w:ascii="仿宋_GB2312" w:hAnsi="仿宋_GB2312" w:eastAsia="仿宋_GB2312" w:cs="仿宋_GB2312"/>
          <w:sz w:val="32"/>
          <w:szCs w:val="32"/>
        </w:rPr>
        <w:t>%；其他收入</w:t>
      </w:r>
      <w:r>
        <w:rPr>
          <w:rFonts w:hint="default" w:ascii="仿宋_GB2312" w:hAnsi="仿宋_GB2312" w:eastAsia="仿宋_GB2312" w:cs="仿宋_GB2312"/>
          <w:sz w:val="32"/>
          <w:szCs w:val="32"/>
          <w:lang w:val="en-US"/>
        </w:rPr>
        <w:t>50.06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1.15</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（注：上述各项收入数可取自财决公开0</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lang w:eastAsia="zh-CN"/>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本年支出</w:t>
      </w:r>
      <w:r>
        <w:rPr>
          <w:rFonts w:hint="default" w:ascii="仿宋_GB2312" w:hAnsi="ˎ̥" w:eastAsia="仿宋_GB2312"/>
          <w:color w:val="000000" w:themeColor="text1"/>
          <w:sz w:val="32"/>
          <w:szCs w:val="32"/>
          <w:lang w:val="en-US"/>
          <w14:textFill>
            <w14:solidFill>
              <w14:schemeClr w14:val="tx1"/>
            </w14:solidFill>
          </w14:textFill>
        </w:rPr>
        <w:t>4580.94</w:t>
      </w:r>
      <w:r>
        <w:rPr>
          <w:rFonts w:hint="eastAsia" w:ascii="仿宋_GB2312" w:hAnsi="ˎ̥" w:eastAsia="仿宋_GB2312"/>
          <w:color w:val="000000" w:themeColor="text1"/>
          <w:sz w:val="32"/>
          <w:szCs w:val="32"/>
          <w14:textFill>
            <w14:solidFill>
              <w14:schemeClr w14:val="tx1"/>
            </w14:solidFill>
          </w14:textFill>
        </w:rPr>
        <w:t>万元，其中：基本支出</w:t>
      </w:r>
      <w:r>
        <w:rPr>
          <w:rFonts w:hint="default" w:ascii="仿宋_GB2312" w:hAnsi="ˎ̥" w:eastAsia="仿宋_GB2312"/>
          <w:color w:val="000000" w:themeColor="text1"/>
          <w:sz w:val="32"/>
          <w:szCs w:val="32"/>
          <w:lang w:val="en-US"/>
          <w14:textFill>
            <w14:solidFill>
              <w14:schemeClr w14:val="tx1"/>
            </w14:solidFill>
          </w14:textFill>
        </w:rPr>
        <w:t>302.45</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6.6</w:t>
      </w:r>
      <w:r>
        <w:rPr>
          <w:rFonts w:hint="eastAsia" w:ascii="仿宋_GB2312" w:hAnsi="ˎ̥" w:eastAsia="仿宋_GB2312"/>
          <w:color w:val="000000" w:themeColor="text1"/>
          <w:sz w:val="32"/>
          <w:szCs w:val="32"/>
          <w14:textFill>
            <w14:solidFill>
              <w14:schemeClr w14:val="tx1"/>
            </w14:solidFill>
          </w14:textFill>
        </w:rPr>
        <w:t>%；项目支出</w:t>
      </w:r>
      <w:r>
        <w:rPr>
          <w:rFonts w:hint="default" w:ascii="仿宋_GB2312" w:hAnsi="ˎ̥" w:eastAsia="仿宋_GB2312"/>
          <w:color w:val="000000" w:themeColor="text1"/>
          <w:sz w:val="32"/>
          <w:szCs w:val="32"/>
          <w:lang w:val="en-US"/>
          <w14:textFill>
            <w14:solidFill>
              <w14:schemeClr w14:val="tx1"/>
            </w14:solidFill>
          </w14:textFill>
        </w:rPr>
        <w:t>4,278.49</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93.4</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上述各项支出数可取自财决公开0</w:t>
      </w:r>
      <w:r>
        <w:rPr>
          <w:rFonts w:hint="eastAsia" w:ascii="仿宋_GB2312" w:hAnsi="ˎ̥" w:eastAsia="仿宋_GB2312"/>
          <w:sz w:val="32"/>
          <w:szCs w:val="32"/>
          <w:lang w:val="en-US" w:eastAsia="zh-CN"/>
        </w:rPr>
        <w:t>4</w:t>
      </w:r>
      <w:r>
        <w:rPr>
          <w:rFonts w:hint="eastAsia" w:ascii="仿宋_GB2312" w:hAnsi="ˎ̥" w:eastAsia="仿宋_GB2312"/>
          <w:sz w:val="32"/>
          <w:szCs w:val="32"/>
        </w:rPr>
        <w:t>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四、财政拨款收入支出决算总体情况说明</w:t>
      </w:r>
    </w:p>
    <w:p>
      <w:pPr>
        <w:ind w:firstLine="640" w:firstLineChars="200"/>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2024</w:t>
      </w:r>
      <w:r>
        <w:rPr>
          <w:rFonts w:hint="eastAsia" w:ascii="仿宋_GB2312" w:hAnsi="仿宋_GB2312" w:eastAsia="仿宋_GB2312" w:cs="仿宋_GB2312"/>
          <w:sz w:val="32"/>
          <w:szCs w:val="32"/>
        </w:rPr>
        <w:t>年度财政拨款收入</w:t>
      </w:r>
      <w:r>
        <w:rPr>
          <w:rFonts w:hint="default" w:ascii="仿宋_GB2312" w:hAnsi="仿宋_GB2312" w:eastAsia="仿宋_GB2312" w:cs="仿宋_GB2312"/>
          <w:sz w:val="32"/>
          <w:szCs w:val="32"/>
          <w:lang w:val="en-US"/>
        </w:rPr>
        <w:t>4299.52</w:t>
      </w:r>
      <w:r>
        <w:rPr>
          <w:rFonts w:hint="eastAsia" w:ascii="仿宋_GB2312" w:hAnsi="仿宋_GB2312" w:eastAsia="仿宋_GB2312" w:cs="仿宋_GB2312"/>
          <w:sz w:val="32"/>
          <w:szCs w:val="32"/>
        </w:rPr>
        <w:t>万元，支出</w:t>
      </w:r>
      <w:r>
        <w:rPr>
          <w:rFonts w:hint="default" w:ascii="仿宋_GB2312" w:hAnsi="仿宋_GB2312" w:eastAsia="仿宋_GB2312" w:cs="仿宋_GB2312"/>
          <w:sz w:val="32"/>
          <w:szCs w:val="32"/>
          <w:lang w:val="en-US"/>
        </w:rPr>
        <w:t>4530.88</w:t>
      </w:r>
      <w:r>
        <w:rPr>
          <w:rFonts w:hint="eastAsia" w:ascii="仿宋_GB2312" w:hAnsi="仿宋_GB2312" w:eastAsia="仿宋_GB2312" w:cs="仿宋_GB2312"/>
          <w:sz w:val="32"/>
          <w:szCs w:val="32"/>
        </w:rPr>
        <w:t>万元。与</w:t>
      </w:r>
      <w:r>
        <w:rPr>
          <w:rFonts w:hint="default" w:ascii="仿宋_GB2312" w:hAnsi="仿宋_GB2312" w:eastAsia="仿宋_GB2312" w:cs="仿宋_GB2312"/>
          <w:sz w:val="32"/>
          <w:szCs w:val="32"/>
          <w:lang w:val="en-US"/>
        </w:rPr>
        <w:t>2023</w:t>
      </w:r>
      <w:r>
        <w:rPr>
          <w:rFonts w:hint="eastAsia" w:ascii="仿宋_GB2312" w:hAnsi="仿宋_GB2312" w:eastAsia="仿宋_GB2312" w:cs="仿宋_GB2312"/>
          <w:sz w:val="32"/>
          <w:szCs w:val="32"/>
        </w:rPr>
        <w:t>年度相比，财政拨款收入增加</w:t>
      </w:r>
      <w:r>
        <w:rPr>
          <w:rFonts w:hint="eastAsia" w:ascii="仿宋_GB2312" w:hAnsi="仿宋_GB2312" w:eastAsia="仿宋_GB2312" w:cs="仿宋_GB2312"/>
          <w:sz w:val="32"/>
          <w:szCs w:val="32"/>
          <w:lang w:val="en-US" w:eastAsia="zh-CN"/>
        </w:rPr>
        <w:t>1855.63</w:t>
      </w:r>
      <w:r>
        <w:rPr>
          <w:rFonts w:hint="eastAsia" w:ascii="仿宋_GB2312" w:hAnsi="仿宋_GB2312" w:eastAsia="仿宋_GB2312" w:cs="仿宋_GB2312"/>
          <w:sz w:val="32"/>
          <w:szCs w:val="32"/>
        </w:rPr>
        <w:t>万元，增加</w:t>
      </w:r>
      <w:r>
        <w:rPr>
          <w:rFonts w:hint="eastAsia" w:ascii="仿宋_GB2312" w:hAnsi="仿宋_GB2312" w:eastAsia="仿宋_GB2312" w:cs="仿宋_GB2312"/>
          <w:sz w:val="32"/>
          <w:szCs w:val="32"/>
          <w:lang w:val="en-US" w:eastAsia="zh-CN"/>
        </w:rPr>
        <w:t>69.36</w:t>
      </w:r>
      <w:r>
        <w:rPr>
          <w:rFonts w:hint="eastAsia" w:ascii="仿宋_GB2312" w:hAnsi="仿宋_GB2312" w:eastAsia="仿宋_GB2312" w:cs="仿宋_GB2312"/>
          <w:sz w:val="32"/>
          <w:szCs w:val="32"/>
        </w:rPr>
        <w:t>%，主要原因：一是2024年收到波巴农村公路改建项目资金1510.25万元，二是收到林芝市交运局农村公路水毁修复资金404.45万元。</w:t>
      </w:r>
    </w:p>
    <w:p>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财政拨款年初结转结余</w:t>
      </w:r>
      <w:r>
        <w:rPr>
          <w:rFonts w:hint="default" w:ascii="仿宋_GB2312" w:hAnsi="仿宋_GB2312" w:eastAsia="仿宋_GB2312" w:cs="仿宋_GB2312"/>
          <w:sz w:val="32"/>
          <w:szCs w:val="32"/>
          <w:lang w:val="en-US"/>
        </w:rPr>
        <w:t>231.36</w:t>
      </w:r>
      <w:r>
        <w:rPr>
          <w:rFonts w:hint="eastAsia" w:ascii="仿宋_GB2312" w:hAnsi="仿宋_GB2312" w:eastAsia="仿宋_GB2312" w:cs="仿宋_GB2312"/>
          <w:sz w:val="32"/>
          <w:szCs w:val="32"/>
          <w:lang w:val="en-US"/>
        </w:rPr>
        <w:t>万元，主要是墨脱县德尔贡村果辛安置点临时通外道路项目</w:t>
      </w:r>
      <w:r>
        <w:rPr>
          <w:rFonts w:hint="eastAsia" w:ascii="仿宋_GB2312" w:hAnsi="仿宋_GB2312" w:eastAsia="仿宋_GB2312" w:cs="仿宋_GB2312"/>
          <w:sz w:val="32"/>
          <w:szCs w:val="32"/>
          <w:lang w:val="en-US" w:eastAsia="zh-CN"/>
        </w:rPr>
        <w:t>3.58万元、</w:t>
      </w:r>
      <w:r>
        <w:rPr>
          <w:rFonts w:hint="eastAsia" w:ascii="仿宋_GB2312" w:hAnsi="仿宋_GB2312" w:eastAsia="仿宋_GB2312" w:cs="仿宋_GB2312"/>
          <w:sz w:val="32"/>
          <w:szCs w:val="32"/>
          <w:lang w:val="en-US"/>
        </w:rPr>
        <w:t>格当乡德吉尼木登桥梁应急抢修工程</w:t>
      </w:r>
      <w:r>
        <w:rPr>
          <w:rFonts w:hint="eastAsia" w:ascii="仿宋_GB2312" w:hAnsi="仿宋_GB2312" w:eastAsia="仿宋_GB2312" w:cs="仿宋_GB2312"/>
          <w:sz w:val="32"/>
          <w:szCs w:val="32"/>
          <w:lang w:val="en-US" w:eastAsia="zh-CN"/>
        </w:rPr>
        <w:t>218.64万元、</w:t>
      </w:r>
      <w:r>
        <w:rPr>
          <w:rFonts w:hint="eastAsia" w:ascii="仿宋_GB2312" w:hAnsi="仿宋_GB2312" w:eastAsia="仿宋_GB2312" w:cs="仿宋_GB2312"/>
          <w:sz w:val="32"/>
          <w:szCs w:val="32"/>
          <w:lang w:val="en-US"/>
        </w:rPr>
        <w:t>县城至背崩乡公路安防应急项目</w:t>
      </w:r>
      <w:r>
        <w:rPr>
          <w:rFonts w:hint="eastAsia" w:ascii="仿宋_GB2312" w:hAnsi="仿宋_GB2312" w:eastAsia="仿宋_GB2312" w:cs="仿宋_GB2312"/>
          <w:sz w:val="32"/>
          <w:szCs w:val="32"/>
          <w:lang w:val="en-US" w:eastAsia="zh-CN"/>
        </w:rPr>
        <w:t>9.14万元</w:t>
      </w:r>
      <w:r>
        <w:rPr>
          <w:rFonts w:hint="eastAsia" w:ascii="仿宋_GB2312" w:hAnsi="仿宋_GB2312" w:eastAsia="仿宋_GB2312" w:cs="仿宋_GB2312"/>
          <w:sz w:val="32"/>
          <w:szCs w:val="32"/>
          <w:lang w:val="en-US"/>
        </w:rPr>
        <w:t>，较</w:t>
      </w:r>
      <w:r>
        <w:rPr>
          <w:rFonts w:hint="default" w:ascii="仿宋_GB2312" w:hAnsi="仿宋_GB2312" w:eastAsia="仿宋_GB2312" w:cs="仿宋_GB2312"/>
          <w:sz w:val="32"/>
          <w:szCs w:val="32"/>
          <w:lang w:val="en-US"/>
        </w:rPr>
        <w:t>2023</w:t>
      </w:r>
      <w:r>
        <w:rPr>
          <w:rFonts w:hint="eastAsia" w:ascii="仿宋_GB2312" w:hAnsi="仿宋_GB2312" w:eastAsia="仿宋_GB2312" w:cs="仿宋_GB2312"/>
          <w:sz w:val="32"/>
          <w:szCs w:val="32"/>
          <w:lang w:val="en-US"/>
        </w:rPr>
        <w:t>年度决算数减少</w:t>
      </w:r>
      <w:r>
        <w:rPr>
          <w:rFonts w:hint="eastAsia" w:ascii="仿宋_GB2312" w:hAnsi="仿宋_GB2312" w:eastAsia="仿宋_GB2312" w:cs="仿宋_GB2312"/>
          <w:sz w:val="32"/>
          <w:szCs w:val="32"/>
          <w:lang w:val="en-US" w:eastAsia="zh-CN"/>
        </w:rPr>
        <w:t>1291.78</w:t>
      </w:r>
      <w:r>
        <w:rPr>
          <w:rFonts w:hint="eastAsia" w:ascii="仿宋_GB2312" w:hAnsi="仿宋_GB2312" w:eastAsia="仿宋_GB2312" w:cs="仿宋_GB2312"/>
          <w:sz w:val="32"/>
          <w:szCs w:val="32"/>
          <w:lang w:val="en-US"/>
        </w:rPr>
        <w:t>万元，下降</w:t>
      </w:r>
      <w:r>
        <w:rPr>
          <w:rFonts w:hint="eastAsia" w:ascii="仿宋_GB2312" w:hAnsi="仿宋_GB2312" w:eastAsia="仿宋_GB2312" w:cs="仿宋_GB2312"/>
          <w:sz w:val="32"/>
          <w:szCs w:val="32"/>
          <w:lang w:val="en-US" w:eastAsia="zh-CN"/>
        </w:rPr>
        <w:t>558.34</w:t>
      </w:r>
      <w:r>
        <w:rPr>
          <w:rFonts w:hint="eastAsia" w:ascii="仿宋_GB2312" w:hAnsi="仿宋_GB2312" w:eastAsia="仿宋_GB2312" w:cs="仿宋_GB2312"/>
          <w:sz w:val="32"/>
          <w:szCs w:val="32"/>
          <w:lang w:val="en-US"/>
        </w:rPr>
        <w:t>%，主要原因是</w:t>
      </w:r>
      <w:r>
        <w:rPr>
          <w:rFonts w:hint="eastAsia" w:ascii="仿宋_GB2312" w:hAnsi="仿宋_GB2312" w:eastAsia="仿宋_GB2312" w:cs="仿宋_GB2312"/>
          <w:sz w:val="32"/>
          <w:szCs w:val="32"/>
          <w:lang w:val="en-US" w:eastAsia="zh-CN"/>
        </w:rPr>
        <w:t>2023年存量资金投资建设项目较多并且大部分资金都已拨付，2024年结转结余资金为项目尾款</w:t>
      </w:r>
      <w:r>
        <w:rPr>
          <w:rFonts w:hint="eastAsia" w:ascii="仿宋_GB2312" w:hAnsi="仿宋_GB2312" w:eastAsia="仿宋_GB2312" w:cs="仿宋_GB2312"/>
          <w:sz w:val="32"/>
          <w:szCs w:val="32"/>
          <w:lang w:val="en-US"/>
        </w:rPr>
        <w:t>。</w:t>
      </w:r>
    </w:p>
    <w:p>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（注</w:t>
      </w:r>
      <w:r>
        <w:rPr>
          <w:rFonts w:hint="default" w:ascii="仿宋_GB2312" w:hAnsi="仿宋_GB2312" w:eastAsia="仿宋_GB2312" w:cs="仿宋_GB2312"/>
          <w:sz w:val="32"/>
          <w:szCs w:val="32"/>
          <w:lang w:val="en-US"/>
        </w:rPr>
        <w:t>：2024</w:t>
      </w:r>
      <w:r>
        <w:rPr>
          <w:rFonts w:hint="eastAsia" w:ascii="仿宋_GB2312" w:hAnsi="仿宋_GB2312" w:eastAsia="仿宋_GB2312" w:cs="仿宋_GB2312"/>
          <w:sz w:val="32"/>
          <w:szCs w:val="32"/>
          <w:lang w:val="en-US"/>
        </w:rPr>
        <w:t>年度决算相关数据可取自财决公开0</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rPr>
        <w:t>表。</w:t>
      </w:r>
      <w:r>
        <w:rPr>
          <w:rFonts w:hint="default" w:ascii="仿宋_GB2312" w:hAnsi="仿宋_GB2312" w:eastAsia="仿宋_GB2312" w:cs="仿宋_GB2312"/>
          <w:sz w:val="32"/>
          <w:szCs w:val="32"/>
          <w:lang w:val="en-US"/>
        </w:rPr>
        <w:t>2023</w:t>
      </w:r>
      <w:r>
        <w:rPr>
          <w:rFonts w:hint="eastAsia" w:ascii="仿宋_GB2312" w:hAnsi="仿宋_GB2312" w:eastAsia="仿宋_GB2312" w:cs="仿宋_GB2312"/>
          <w:sz w:val="32"/>
          <w:szCs w:val="32"/>
          <w:lang w:val="en-US"/>
        </w:rPr>
        <w:t>年度决算相关数据可取自</w:t>
      </w:r>
      <w:r>
        <w:rPr>
          <w:rFonts w:hint="default" w:ascii="仿宋_GB2312" w:hAnsi="仿宋_GB2312" w:eastAsia="仿宋_GB2312" w:cs="仿宋_GB2312"/>
          <w:sz w:val="32"/>
          <w:szCs w:val="32"/>
          <w:lang w:val="en-US"/>
        </w:rPr>
        <w:t>2023</w:t>
      </w:r>
      <w:r>
        <w:rPr>
          <w:rFonts w:hint="eastAsia" w:ascii="仿宋_GB2312" w:hAnsi="仿宋_GB2312" w:eastAsia="仿宋_GB2312" w:cs="仿宋_GB2312"/>
          <w:sz w:val="32"/>
          <w:szCs w:val="32"/>
          <w:lang w:val="en-US"/>
        </w:rPr>
        <w:t>年度部门决算报表财决01-1表《财政拨款收入支出决算总表》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76" w:name="_Toc23005_WPSOffice_Level2"/>
      <w:bookmarkStart w:id="77" w:name="_Toc17398_WPSOffice_Level2"/>
      <w:bookmarkStart w:id="78" w:name="_Toc9989_WPSOffice_Level2"/>
      <w:bookmarkStart w:id="79" w:name="_Toc21737_WPSOffice_Level2"/>
      <w:bookmarkStart w:id="80" w:name="_Toc13694_WPSOffice_Level2"/>
      <w:bookmarkStart w:id="81" w:name="_Toc19665_WPSOffice_Level2"/>
      <w:r>
        <w:rPr>
          <w:rFonts w:hint="eastAsia" w:ascii="楷体" w:hAnsi="楷体" w:eastAsia="楷体" w:cs="楷体"/>
          <w:sz w:val="32"/>
          <w:szCs w:val="32"/>
        </w:rPr>
        <w:t>（一）一般公共预算财政拨款支出决算总体情况</w:t>
      </w:r>
      <w:bookmarkEnd w:id="76"/>
      <w:bookmarkEnd w:id="77"/>
      <w:bookmarkEnd w:id="78"/>
      <w:bookmarkEnd w:id="79"/>
      <w:bookmarkEnd w:id="80"/>
      <w:bookmarkEnd w:id="81"/>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年度一般公共预算财政拨款支出</w:t>
      </w:r>
      <w:r>
        <w:rPr>
          <w:rFonts w:hint="default" w:ascii="仿宋_GB2312" w:hAnsi="ˎ̥" w:eastAsia="仿宋_GB2312"/>
          <w:color w:val="000000" w:themeColor="text1"/>
          <w:sz w:val="32"/>
          <w:szCs w:val="32"/>
          <w:lang w:val="en-US"/>
          <w14:textFill>
            <w14:solidFill>
              <w14:schemeClr w14:val="tx1"/>
            </w14:solidFill>
          </w14:textFill>
        </w:rPr>
        <w:t>4530.88</w:t>
      </w:r>
      <w:r>
        <w:rPr>
          <w:rFonts w:hint="eastAsia" w:ascii="仿宋_GB2312" w:hAnsi="ˎ̥" w:eastAsia="仿宋_GB2312"/>
          <w:color w:val="000000" w:themeColor="text1"/>
          <w:sz w:val="32"/>
          <w:szCs w:val="32"/>
          <w14:textFill>
            <w14:solidFill>
              <w14:schemeClr w14:val="tx1"/>
            </w14:solidFill>
          </w14:textFill>
        </w:rPr>
        <w:t>万元，占本年支出合计的</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年度相比，一般公共预算财政拨款支出增加</w:t>
      </w:r>
      <w:r>
        <w:rPr>
          <w:rFonts w:hint="eastAsia" w:ascii="仿宋_GB2312" w:hAnsi="ˎ̥" w:eastAsia="仿宋_GB2312"/>
          <w:color w:val="000000" w:themeColor="text1"/>
          <w:sz w:val="32"/>
          <w:szCs w:val="32"/>
          <w:lang w:val="en-US" w:eastAsia="zh-CN"/>
          <w14:textFill>
            <w14:solidFill>
              <w14:schemeClr w14:val="tx1"/>
            </w14:solidFill>
          </w14:textFill>
        </w:rPr>
        <w:t>1855.64</w:t>
      </w:r>
      <w:r>
        <w:rPr>
          <w:rFonts w:hint="eastAsia" w:ascii="仿宋_GB2312" w:hAnsi="ˎ̥" w:eastAsia="仿宋_GB2312"/>
          <w:color w:val="000000" w:themeColor="text1"/>
          <w:sz w:val="32"/>
          <w:szCs w:val="32"/>
          <w14:textFill>
            <w14:solidFill>
              <w14:schemeClr w14:val="tx1"/>
            </w14:solidFill>
          </w14:textFill>
        </w:rPr>
        <w:t>万元，增长</w:t>
      </w:r>
      <w:r>
        <w:rPr>
          <w:rFonts w:hint="eastAsia" w:ascii="仿宋_GB2312" w:hAnsi="ˎ̥" w:eastAsia="仿宋_GB2312"/>
          <w:color w:val="000000" w:themeColor="text1"/>
          <w:sz w:val="32"/>
          <w:szCs w:val="32"/>
          <w:lang w:val="en-US" w:eastAsia="zh-CN"/>
          <w14:textFill>
            <w14:solidFill>
              <w14:schemeClr w14:val="tx1"/>
            </w14:solidFill>
          </w14:textFill>
        </w:rPr>
        <w:t>69</w:t>
      </w:r>
      <w:r>
        <w:rPr>
          <w:rFonts w:hint="eastAsia" w:ascii="仿宋_GB2312" w:hAnsi="ˎ̥" w:eastAsia="仿宋_GB2312"/>
          <w:color w:val="000000" w:themeColor="text1"/>
          <w:sz w:val="32"/>
          <w:szCs w:val="32"/>
          <w14:textFill>
            <w14:solidFill>
              <w14:schemeClr w14:val="tx1"/>
            </w14:solidFill>
          </w14:textFill>
        </w:rPr>
        <w:t>%，主要原因是</w:t>
      </w:r>
      <w:r>
        <w:rPr>
          <w:rFonts w:hint="eastAsia" w:ascii="仿宋_GB2312" w:hAnsi="ˎ̥" w:eastAsia="仿宋_GB2312"/>
          <w:color w:val="000000" w:themeColor="text1"/>
          <w:sz w:val="32"/>
          <w:szCs w:val="32"/>
          <w:lang w:val="en-US" w:eastAsia="zh-CN"/>
          <w14:textFill>
            <w14:solidFill>
              <w14:schemeClr w14:val="tx1"/>
            </w14:solidFill>
          </w14:textFill>
        </w:rPr>
        <w:t>2024年新增重点新建项目2个</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2" w:name="_Toc19535_WPSOffice_Level2"/>
      <w:bookmarkStart w:id="83" w:name="_Toc19075_WPSOffice_Level2"/>
      <w:bookmarkStart w:id="84" w:name="_Toc18793_WPSOffice_Level2"/>
      <w:bookmarkStart w:id="85" w:name="_Toc2711_WPSOffice_Level2"/>
      <w:bookmarkStart w:id="86" w:name="_Toc27767_WPSOffice_Level2"/>
      <w:bookmarkStart w:id="87" w:name="_Toc23864_WPSOffice_Level2"/>
      <w:r>
        <w:rPr>
          <w:rFonts w:hint="eastAsia" w:ascii="楷体" w:hAnsi="楷体" w:eastAsia="楷体" w:cs="楷体"/>
          <w:sz w:val="32"/>
          <w:szCs w:val="32"/>
        </w:rPr>
        <w:t>（二）一般公共预算财政拨款支出决算结构情况</w:t>
      </w:r>
      <w:bookmarkEnd w:id="82"/>
      <w:bookmarkEnd w:id="83"/>
      <w:bookmarkEnd w:id="84"/>
      <w:bookmarkEnd w:id="85"/>
      <w:bookmarkEnd w:id="86"/>
      <w:bookmarkEnd w:id="87"/>
    </w:p>
    <w:p>
      <w:pPr>
        <w:ind w:firstLine="640" w:firstLineChars="200"/>
        <w:rPr>
          <w:rFonts w:hint="eastAsia" w:ascii="仿宋_GB2312" w:hAnsi="Helvetica" w:eastAsia="仿宋_GB2312" w:cs="Helvetica"/>
          <w:color w:val="000000"/>
          <w:sz w:val="32"/>
          <w:szCs w:val="32"/>
          <w:shd w:val="clear" w:color="auto" w:fill="FFFFFF"/>
          <w:lang w:val="en" w:eastAsia="zh-CN"/>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w:t>
      </w:r>
      <w:r>
        <w:rPr>
          <w:rFonts w:hint="default" w:ascii="仿宋_GB2312" w:hAnsi="ˎ̥" w:eastAsia="仿宋_GB2312"/>
          <w:color w:val="000000" w:themeColor="text1"/>
          <w:sz w:val="32"/>
          <w:szCs w:val="32"/>
          <w:lang w:val="en-US"/>
          <w14:textFill>
            <w14:solidFill>
              <w14:schemeClr w14:val="tx1"/>
            </w14:solidFill>
          </w14:textFill>
        </w:rPr>
        <w:t>4530.88</w:t>
      </w:r>
      <w:r>
        <w:rPr>
          <w:rFonts w:hint="eastAsia" w:ascii="仿宋_GB2312" w:hAnsi="ˎ̥" w:eastAsia="仿宋_GB2312"/>
          <w:sz w:val="32"/>
          <w:szCs w:val="32"/>
        </w:rPr>
        <w:t>万元，主要用于以下方面：</w:t>
      </w:r>
      <w:r>
        <w:rPr>
          <w:rFonts w:hint="eastAsia" w:ascii="仿宋" w:hAnsi="仿宋" w:eastAsia="仿宋" w:cs="仿宋"/>
          <w:sz w:val="32"/>
          <w:szCs w:val="32"/>
        </w:rPr>
        <w:t>一般公共服务支出</w:t>
      </w:r>
      <w:r>
        <w:rPr>
          <w:rFonts w:hint="eastAsia" w:ascii="仿宋_GB2312" w:hAnsi="Helvetica" w:eastAsia="仿宋_GB2312" w:cs="Helvetica"/>
          <w:color w:val="000000"/>
          <w:sz w:val="32"/>
          <w:szCs w:val="32"/>
          <w:shd w:val="clear" w:color="auto" w:fill="FFFFFF"/>
        </w:rPr>
        <w:t>44</w:t>
      </w:r>
      <w:r>
        <w:rPr>
          <w:rFonts w:hint="eastAsia" w:ascii="仿宋_GB2312" w:hAnsi="Helvetica" w:eastAsia="仿宋_GB2312" w:cs="Helvetica"/>
          <w:color w:val="000000"/>
          <w:sz w:val="32"/>
          <w:szCs w:val="32"/>
          <w:shd w:val="clear" w:color="auto" w:fill="FFFFFF"/>
          <w:lang w:val="en-US" w:eastAsia="zh-CN"/>
        </w:rPr>
        <w:t>3</w:t>
      </w:r>
      <w:r>
        <w:rPr>
          <w:rFonts w:hint="eastAsia" w:ascii="仿宋_GB2312" w:hAnsi="Helvetica" w:eastAsia="仿宋_GB2312" w:cs="Helvetica"/>
          <w:color w:val="000000"/>
          <w:sz w:val="32"/>
          <w:szCs w:val="32"/>
          <w:shd w:val="clear" w:color="auto" w:fill="FFFFFF"/>
        </w:rPr>
        <w:t>8.2</w:t>
      </w:r>
      <w:r>
        <w:rPr>
          <w:rFonts w:hint="eastAsia" w:ascii="仿宋_GB2312" w:hAnsi="Helvetica" w:eastAsia="仿宋_GB2312" w:cs="Helvetica"/>
          <w:color w:val="000000"/>
          <w:sz w:val="32"/>
          <w:szCs w:val="32"/>
          <w:shd w:val="clear" w:color="auto" w:fill="FFFFFF"/>
          <w:lang w:val="en-US" w:eastAsia="zh-CN"/>
        </w:rPr>
        <w:t>2</w:t>
      </w:r>
      <w:r>
        <w:rPr>
          <w:rFonts w:hint="eastAsia" w:ascii="仿宋_GB2312" w:hAnsi="Helvetica" w:eastAsia="仿宋_GB2312" w:cs="Helvetica"/>
          <w:color w:val="000000"/>
          <w:sz w:val="32"/>
          <w:szCs w:val="32"/>
          <w:shd w:val="clear" w:color="auto" w:fill="FFFFFF"/>
        </w:rPr>
        <w:t>万元</w:t>
      </w:r>
      <w:r>
        <w:rPr>
          <w:rFonts w:hint="eastAsia" w:ascii="仿宋" w:hAnsi="仿宋" w:eastAsia="仿宋" w:cs="仿宋"/>
          <w:sz w:val="32"/>
          <w:szCs w:val="32"/>
        </w:rPr>
        <w:t>，占97.99%；</w:t>
      </w:r>
      <w:r>
        <w:rPr>
          <w:rFonts w:hint="eastAsia" w:ascii="仿宋_GB2312" w:hAnsi="Helvetica" w:eastAsia="仿宋_GB2312" w:cs="Helvetica"/>
          <w:color w:val="000000"/>
          <w:sz w:val="32"/>
          <w:szCs w:val="32"/>
          <w:shd w:val="clear" w:color="auto" w:fill="FFFFFF"/>
        </w:rPr>
        <w:t>社会保障和就业支出34.57万元，占0.75%；卫生健康支出22.16万元，占0.48%；住房保障支出35.93万元，占0.78%</w:t>
      </w:r>
      <w:r>
        <w:rPr>
          <w:rFonts w:hint="eastAsia" w:ascii="仿宋_GB2312" w:hAnsi="Helvetica" w:eastAsia="仿宋_GB2312" w:cs="Helvetica"/>
          <w:color w:val="00000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单位实际支出涉及的支出功能分类类级科目填列</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8" w:name="_Toc15415_WPSOffice_Level2"/>
      <w:bookmarkStart w:id="89" w:name="_Toc25136_WPSOffice_Level2"/>
      <w:bookmarkStart w:id="90" w:name="_Toc29364_WPSOffice_Level2"/>
      <w:bookmarkStart w:id="91" w:name="_Toc21701_WPSOffice_Level2"/>
      <w:bookmarkStart w:id="92" w:name="_Toc22318_WPSOffice_Level2"/>
      <w:bookmarkStart w:id="93" w:name="_Toc9502_WPSOffice_Level2"/>
      <w:r>
        <w:rPr>
          <w:rFonts w:hint="eastAsia" w:ascii="楷体" w:hAnsi="楷体" w:eastAsia="楷体" w:cs="楷体"/>
          <w:sz w:val="32"/>
          <w:szCs w:val="32"/>
        </w:rPr>
        <w:t>（三）一般公共预算财政拨款支出决算具体情况</w:t>
      </w:r>
      <w:bookmarkEnd w:id="88"/>
      <w:bookmarkEnd w:id="89"/>
      <w:bookmarkEnd w:id="90"/>
      <w:bookmarkEnd w:id="91"/>
      <w:bookmarkEnd w:id="92"/>
      <w:bookmarkEnd w:id="93"/>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年度一般公共预算财政拨款支出年初预</w:t>
      </w:r>
      <w:r>
        <w:rPr>
          <w:rFonts w:hint="eastAsia" w:ascii="仿宋_GB2312" w:hAnsi="ˎ̥" w:eastAsia="仿宋_GB2312"/>
          <w:color w:val="000000" w:themeColor="text1"/>
          <w:sz w:val="32"/>
          <w:szCs w:val="32"/>
          <w14:textFill>
            <w14:solidFill>
              <w14:schemeClr w14:val="tx1"/>
            </w14:solidFill>
          </w14:textFill>
        </w:rPr>
        <w:t>算为</w:t>
      </w:r>
      <w:r>
        <w:rPr>
          <w:rFonts w:hint="eastAsia" w:ascii="仿宋_GB2312" w:hAnsi="ˎ̥" w:eastAsia="仿宋_GB2312"/>
          <w:color w:val="000000" w:themeColor="text1"/>
          <w:sz w:val="32"/>
          <w:szCs w:val="32"/>
          <w:lang w:val="en-US" w:eastAsia="zh-CN"/>
          <w14:textFill>
            <w14:solidFill>
              <w14:schemeClr w14:val="tx1"/>
            </w14:solidFill>
          </w14:textFill>
        </w:rPr>
        <w:t>4299.52</w:t>
      </w:r>
      <w:r>
        <w:rPr>
          <w:rFonts w:hint="eastAsia" w:ascii="仿宋_GB2312" w:hAnsi="ˎ̥" w:eastAsia="仿宋_GB2312"/>
          <w:color w:val="000000" w:themeColor="text1"/>
          <w:sz w:val="32"/>
          <w:szCs w:val="32"/>
          <w14:textFill>
            <w14:solidFill>
              <w14:schemeClr w14:val="tx1"/>
            </w14:solidFill>
          </w14:textFill>
        </w:rPr>
        <w:t>万元，支出决算为</w:t>
      </w:r>
      <w:r>
        <w:rPr>
          <w:rFonts w:hint="default" w:ascii="仿宋_GB2312" w:hAnsi="ˎ̥" w:eastAsia="仿宋_GB2312"/>
          <w:color w:val="000000" w:themeColor="text1"/>
          <w:sz w:val="32"/>
          <w:szCs w:val="32"/>
          <w:lang w:val="en-US"/>
          <w14:textFill>
            <w14:solidFill>
              <w14:schemeClr w14:val="tx1"/>
            </w14:solidFill>
          </w14:textFill>
        </w:rPr>
        <w:t>4530.88</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105.38</w:t>
      </w:r>
      <w:r>
        <w:rPr>
          <w:rFonts w:hint="eastAsia" w:ascii="仿宋_GB2312" w:hAnsi="ˎ̥" w:eastAsia="仿宋_GB2312"/>
          <w:color w:val="000000" w:themeColor="text1"/>
          <w:sz w:val="32"/>
          <w:szCs w:val="32"/>
          <w14:textFill>
            <w14:solidFill>
              <w14:schemeClr w14:val="tx1"/>
            </w14:solidFill>
          </w14:textFill>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本部分支出决算数可取自财决公开05表，年初预算数可取自各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单位年初预算大本，根据实际支出涉及的支出功能分类项级科目填列</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sz w:val="32"/>
          <w:szCs w:val="32"/>
        </w:rPr>
      </w:pPr>
      <w:r>
        <w:rPr>
          <w:rFonts w:hint="eastAsia" w:ascii="黑体" w:hAnsi="黑体" w:eastAsia="黑体" w:cs="黑体"/>
          <w:bCs/>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年度财政拨款基本支出</w:t>
      </w:r>
      <w:r>
        <w:rPr>
          <w:rFonts w:hint="eastAsia" w:ascii="仿宋_GB2312" w:hAnsi="ˎ̥" w:eastAsia="仿宋_GB2312"/>
          <w:color w:val="000000" w:themeColor="text1"/>
          <w:sz w:val="32"/>
          <w:szCs w:val="32"/>
          <w:lang w:val="en-US"/>
          <w14:textFill>
            <w14:solidFill>
              <w14:schemeClr w14:val="tx1"/>
            </w14:solidFill>
          </w14:textFill>
        </w:rPr>
        <w:t>302.45</w:t>
      </w:r>
      <w:r>
        <w:rPr>
          <w:rFonts w:hint="eastAsia" w:ascii="仿宋_GB2312" w:hAnsi="ˎ̥" w:eastAsia="仿宋_GB2312"/>
          <w:sz w:val="32"/>
          <w:szCs w:val="32"/>
        </w:rPr>
        <w:t>万元，其中：人员经费</w:t>
      </w:r>
      <w:r>
        <w:rPr>
          <w:rFonts w:ascii="仿宋_GB2312" w:hAnsi="ˎ̥" w:eastAsia="仿宋_GB2312"/>
          <w:color w:val="000000" w:themeColor="text1"/>
          <w:sz w:val="32"/>
          <w:szCs w:val="32"/>
          <w:lang w:val="en-US"/>
          <w14:textFill>
            <w14:solidFill>
              <w14:schemeClr w14:val="tx1"/>
            </w14:solidFill>
          </w14:textFill>
        </w:rPr>
        <w:t>289.53</w:t>
      </w:r>
      <w:r>
        <w:rPr>
          <w:rFonts w:hint="eastAsia" w:ascii="仿宋_GB2312" w:hAnsi="ˎ̥" w:eastAsia="仿宋_GB2312"/>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ascii="仿宋_GB2312" w:hAnsi="ˎ̥" w:eastAsia="仿宋_GB2312"/>
          <w:color w:val="000000" w:themeColor="text1"/>
          <w:sz w:val="32"/>
          <w:szCs w:val="32"/>
          <w:lang w:val="en-US"/>
          <w14:textFill>
            <w14:solidFill>
              <w14:schemeClr w14:val="tx1"/>
            </w14:solidFill>
          </w14:textFill>
        </w:rPr>
        <w:t>12.92</w:t>
      </w:r>
      <w:r>
        <w:rPr>
          <w:rFonts w:hint="eastAsia" w:ascii="仿宋_GB2312" w:hAnsi="ˎ̥" w:eastAsia="仿宋_GB2312"/>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sz w:val="32"/>
          <w:szCs w:val="32"/>
          <w:lang w:val="en-US" w:eastAsia="zh-CN"/>
        </w:rPr>
        <w:t>购</w:t>
      </w:r>
      <w:r>
        <w:rPr>
          <w:rFonts w:hint="eastAsia" w:ascii="仿宋_GB2312" w:hAnsi="ˎ̥" w:eastAsia="仿宋_GB2312"/>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上述</w:t>
      </w:r>
      <w:r>
        <w:rPr>
          <w:rFonts w:hint="eastAsia" w:ascii="仿宋_GB2312" w:hAnsi="ˎ̥" w:eastAsia="仿宋_GB2312"/>
          <w:sz w:val="32"/>
          <w:szCs w:val="32"/>
          <w:lang w:val="en-US" w:eastAsia="zh-CN"/>
        </w:rPr>
        <w:t>数据</w:t>
      </w:r>
      <w:r>
        <w:rPr>
          <w:rFonts w:hint="eastAsia" w:ascii="仿宋_GB2312" w:hAnsi="ˎ̥" w:eastAsia="仿宋_GB2312"/>
          <w:sz w:val="32"/>
          <w:szCs w:val="32"/>
        </w:rPr>
        <w:t>可取自财决公开06表，各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单位根据实际支出情况，选列相应支出经济分类。）</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w:t>
      </w:r>
      <w:r>
        <w:rPr>
          <w:rFonts w:hint="eastAsia" w:ascii="仿宋_GB2312" w:hAnsi="ˎ̥" w:eastAsia="仿宋_GB2312"/>
          <w:sz w:val="32"/>
          <w:szCs w:val="32"/>
          <w:lang w:eastAsia="zh-CN"/>
        </w:rPr>
        <w:t>无</w:t>
      </w:r>
      <w:r>
        <w:rPr>
          <w:rFonts w:hint="eastAsia" w:ascii="仿宋_GB2312" w:hAnsi="ˎ̥" w:eastAsia="仿宋_GB2312"/>
          <w:sz w:val="32"/>
          <w:szCs w:val="32"/>
        </w:rPr>
        <w:t>政府性基金预算财政拨款</w:t>
      </w:r>
      <w:r>
        <w:rPr>
          <w:rFonts w:hint="eastAsia" w:ascii="仿宋_GB2312" w:hAnsi="ˎ̥" w:eastAsia="仿宋_GB2312"/>
          <w:sz w:val="32"/>
          <w:szCs w:val="32"/>
          <w:lang w:eastAsia="zh-CN"/>
        </w:rPr>
        <w:t>支出</w:t>
      </w:r>
      <w:r>
        <w:rPr>
          <w:rFonts w:hint="eastAsia" w:ascii="仿宋_GB2312" w:hAnsi="ˎ̥" w:eastAsia="仿宋_GB2312"/>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w:t>
      </w:r>
      <w:r>
        <w:rPr>
          <w:rFonts w:hint="eastAsia" w:ascii="仿宋_GB2312" w:hAnsi="ˎ̥" w:eastAsia="仿宋_GB2312"/>
          <w:sz w:val="32"/>
          <w:szCs w:val="32"/>
          <w:lang w:eastAsia="zh-CN"/>
        </w:rPr>
        <w:t>无国有资本经营财政拨款支出。</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sz w:val="32"/>
          <w:szCs w:val="32"/>
        </w:rPr>
      </w:pPr>
      <w:r>
        <w:rPr>
          <w:rFonts w:hint="eastAsia" w:ascii="黑体" w:hAnsi="黑体" w:eastAsia="黑体" w:cs="黑体"/>
          <w:bCs/>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sz w:val="32"/>
          <w:szCs w:val="32"/>
        </w:rPr>
        <w:t xml:space="preserve">    </w:t>
      </w: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年度财政拨款“三公”经费支出预算为</w:t>
      </w:r>
      <w:r>
        <w:rPr>
          <w:rFonts w:hint="default" w:ascii="仿宋_GB2312" w:hAnsi="ˎ̥" w:eastAsia="仿宋_GB2312"/>
          <w:color w:val="000000" w:themeColor="text1"/>
          <w:sz w:val="32"/>
          <w:szCs w:val="32"/>
          <w:lang w:val="en-US"/>
          <w14:textFill>
            <w14:solidFill>
              <w14:schemeClr w14:val="tx1"/>
            </w14:solidFill>
          </w14:textFill>
        </w:rPr>
        <w:t>4.03</w:t>
      </w:r>
      <w:r>
        <w:rPr>
          <w:rFonts w:hint="eastAsia" w:ascii="仿宋_GB2312" w:hAnsi="ˎ̥" w:eastAsia="仿宋_GB2312"/>
          <w:color w:val="000000" w:themeColor="text1"/>
          <w:sz w:val="32"/>
          <w:szCs w:val="32"/>
          <w14:textFill>
            <w14:solidFill>
              <w14:schemeClr w14:val="tx1"/>
            </w14:solidFill>
          </w14:textFill>
        </w:rPr>
        <w:t>万元，支出决算为</w:t>
      </w:r>
      <w:r>
        <w:rPr>
          <w:rFonts w:hint="default" w:ascii="仿宋_GB2312" w:hAnsi="ˎ̥" w:eastAsia="仿宋_GB2312"/>
          <w:color w:val="000000" w:themeColor="text1"/>
          <w:sz w:val="32"/>
          <w:szCs w:val="32"/>
          <w:lang w:val="en-US"/>
          <w14:textFill>
            <w14:solidFill>
              <w14:schemeClr w14:val="tx1"/>
            </w14:solidFill>
          </w14:textFill>
        </w:rPr>
        <w:t>4.03</w:t>
      </w:r>
      <w:r>
        <w:rPr>
          <w:rFonts w:hint="eastAsia" w:ascii="仿宋_GB2312" w:hAnsi="ˎ̥" w:eastAsia="仿宋_GB2312"/>
          <w:color w:val="000000" w:themeColor="text1"/>
          <w:sz w:val="32"/>
          <w:szCs w:val="32"/>
          <w14:textFill>
            <w14:solidFill>
              <w14:schemeClr w14:val="tx1"/>
            </w14:solidFill>
          </w14:textFill>
        </w:rPr>
        <w:t>万元，完成预算的</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w:t>
      </w:r>
      <w:r>
        <w:rPr>
          <w:rFonts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w:t>
      </w:r>
      <w:r>
        <w:rPr>
          <w:rFonts w:ascii="仿宋_GB2312" w:hAnsi="ˎ̥" w:eastAsia="仿宋_GB2312"/>
          <w:color w:val="000000" w:themeColor="text1"/>
          <w:sz w:val="32"/>
          <w:szCs w:val="32"/>
          <w14:textFill>
            <w14:solidFill>
              <w14:schemeClr w14:val="tx1"/>
            </w14:solidFill>
          </w14:textFill>
        </w:rPr>
        <w:t>相比，</w:t>
      </w:r>
      <w:r>
        <w:rPr>
          <w:rFonts w:hint="eastAsia" w:ascii="仿宋_GB2312" w:hAnsi="ˎ̥" w:eastAsia="仿宋_GB2312"/>
          <w:color w:val="000000" w:themeColor="text1"/>
          <w:sz w:val="32"/>
          <w:szCs w:val="32"/>
          <w14:textFill>
            <w14:solidFill>
              <w14:schemeClr w14:val="tx1"/>
            </w14:solidFill>
          </w14:textFill>
        </w:rPr>
        <w:t>“三公”经费支出</w:t>
      </w:r>
      <w:r>
        <w:rPr>
          <w:rFonts w:hint="eastAsia" w:ascii="仿宋_GB2312" w:hAnsi="黑体" w:eastAsia="仿宋_GB2312" w:cs="黑体"/>
          <w:color w:val="000000" w:themeColor="text1"/>
          <w:sz w:val="32"/>
          <w:szCs w:val="32"/>
          <w:lang w:eastAsia="zh-CN"/>
          <w14:textFill>
            <w14:solidFill>
              <w14:schemeClr w14:val="tx1"/>
            </w14:solidFill>
          </w14:textFill>
        </w:rPr>
        <w:t>增加</w:t>
      </w:r>
      <w:r>
        <w:rPr>
          <w:rFonts w:hint="eastAsia" w:ascii="仿宋_GB2312" w:hAnsi="黑体" w:eastAsia="仿宋_GB2312" w:cs="黑体"/>
          <w:color w:val="000000" w:themeColor="text1"/>
          <w:sz w:val="32"/>
          <w:szCs w:val="32"/>
          <w:lang w:val="en-US" w:eastAsia="zh-CN"/>
          <w14:textFill>
            <w14:solidFill>
              <w14:schemeClr w14:val="tx1"/>
            </w14:solidFill>
          </w14:textFill>
        </w:rPr>
        <w:t>1.94</w:t>
      </w:r>
      <w:r>
        <w:rPr>
          <w:rFonts w:hint="eastAsia" w:ascii="仿宋_GB2312" w:hAnsi="黑体" w:eastAsia="仿宋_GB2312" w:cs="黑体"/>
          <w:color w:val="000000" w:themeColor="text1"/>
          <w:sz w:val="32"/>
          <w:szCs w:val="32"/>
          <w14:textFill>
            <w14:solidFill>
              <w14:schemeClr w14:val="tx1"/>
            </w14:solidFill>
          </w14:textFill>
        </w:rPr>
        <w:t>万元，原因为2024年公务用车维修</w:t>
      </w:r>
      <w:r>
        <w:rPr>
          <w:rFonts w:hint="eastAsia" w:ascii="仿宋_GB2312" w:hAnsi="黑体" w:eastAsia="仿宋_GB2312" w:cs="黑体"/>
          <w:color w:val="000000" w:themeColor="text1"/>
          <w:sz w:val="32"/>
          <w:szCs w:val="32"/>
          <w:lang w:eastAsia="zh-CN"/>
          <w14:textFill>
            <w14:solidFill>
              <w14:schemeClr w14:val="tx1"/>
            </w14:solidFill>
          </w14:textFill>
        </w:rPr>
        <w:t>增加</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sz w:val="32"/>
          <w:szCs w:val="32"/>
        </w:rPr>
      </w:pPr>
      <w:r>
        <w:rPr>
          <w:rFonts w:hint="eastAsia" w:ascii="楷体" w:hAnsi="楷体" w:eastAsia="楷体" w:cs="楷体"/>
          <w:b/>
          <w:bCs/>
          <w:sz w:val="32"/>
          <w:szCs w:val="32"/>
        </w:rPr>
        <w:t xml:space="preserve">   </w:t>
      </w:r>
      <w:r>
        <w:rPr>
          <w:rFonts w:hint="eastAsia" w:ascii="楷体" w:hAnsi="楷体" w:eastAsia="楷体" w:cs="楷体"/>
          <w:sz w:val="32"/>
          <w:szCs w:val="32"/>
        </w:rPr>
        <w:t xml:space="preserve"> （二）财政拨款“三公”经费支出决算具体情况说明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sz w:val="32"/>
          <w:szCs w:val="32"/>
          <w:lang w:val="en-US"/>
        </w:rPr>
        <w:t>2024</w:t>
      </w:r>
      <w:r>
        <w:rPr>
          <w:rFonts w:hint="eastAsia" w:ascii="仿宋_GB2312" w:hAnsi="ˎ̥" w:eastAsia="仿宋_GB2312"/>
          <w:sz w:val="32"/>
          <w:szCs w:val="32"/>
        </w:rPr>
        <w:t>年度财政拨款“三公”经费支出决算中，因公出国（境）</w:t>
      </w:r>
      <w:r>
        <w:rPr>
          <w:rFonts w:hint="eastAsia" w:ascii="仿宋_GB2312" w:hAnsi="ˎ̥" w:eastAsia="仿宋_GB2312"/>
          <w:color w:val="000000" w:themeColor="text1"/>
          <w:sz w:val="32"/>
          <w:szCs w:val="32"/>
          <w14:textFill>
            <w14:solidFill>
              <w14:schemeClr w14:val="tx1"/>
            </w14:solidFill>
          </w14:textFill>
        </w:rPr>
        <w:t>费支出决算</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%；公务用车购置及运行维护费支出决算</w:t>
      </w:r>
      <w:r>
        <w:rPr>
          <w:rFonts w:hint="default" w:ascii="仿宋_GB2312" w:hAnsi="ˎ̥" w:eastAsia="仿宋_GB2312"/>
          <w:color w:val="000000" w:themeColor="text1"/>
          <w:sz w:val="32"/>
          <w:szCs w:val="32"/>
          <w:lang w:val="en-US"/>
          <w14:textFill>
            <w14:solidFill>
              <w14:schemeClr w14:val="tx1"/>
            </w14:solidFill>
          </w14:textFill>
        </w:rPr>
        <w:t>4.03</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%；公务接待费支出决算</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%。具体情况如下：</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1.因公出国（境）费</w:t>
      </w:r>
      <w:r>
        <w:rPr>
          <w:rFonts w:hint="eastAsia" w:ascii="仿宋_GB2312" w:hAnsi="ˎ̥" w:eastAsia="仿宋_GB2312"/>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万元。全年安排因公出国（境）团组</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个，因公出国（境）</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人次。</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 xml:space="preserve">    2.公务用车购置及运行维护费</w:t>
      </w:r>
      <w:r>
        <w:rPr>
          <w:rFonts w:hint="eastAsia" w:ascii="仿宋_GB2312" w:hAnsi="ˎ̥" w:eastAsia="仿宋_GB2312"/>
          <w:b w:val="0"/>
          <w:bCs/>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4.03</w:t>
      </w:r>
      <w:r>
        <w:rPr>
          <w:rFonts w:hint="eastAsia" w:ascii="仿宋_GB2312" w:hAnsi="ˎ̥" w:eastAsia="仿宋_GB2312"/>
          <w:color w:val="000000" w:themeColor="text1"/>
          <w:sz w:val="32"/>
          <w:szCs w:val="32"/>
          <w14:textFill>
            <w14:solidFill>
              <w14:schemeClr w14:val="tx1"/>
            </w14:solidFill>
          </w14:textFill>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公务用车购置</w:t>
      </w:r>
      <w:r>
        <w:rPr>
          <w:rFonts w:hint="eastAsia" w:ascii="仿宋_GB2312" w:hAnsi="ˎ̥" w:eastAsia="仿宋_GB2312"/>
          <w:b w:val="0"/>
          <w:bCs/>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万元，全年购置公务用车</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辆。</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公务用车运行维护费</w:t>
      </w:r>
      <w:r>
        <w:rPr>
          <w:rFonts w:hint="eastAsia" w:ascii="仿宋_GB2312" w:hAnsi="ˎ̥" w:eastAsia="仿宋_GB2312"/>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4.03</w:t>
      </w:r>
      <w:r>
        <w:rPr>
          <w:rFonts w:hint="eastAsia" w:ascii="仿宋_GB2312" w:hAnsi="ˎ̥" w:eastAsia="仿宋_GB2312"/>
          <w:color w:val="000000" w:themeColor="text1"/>
          <w:sz w:val="32"/>
          <w:szCs w:val="32"/>
          <w14:textFill>
            <w14:solidFill>
              <w14:schemeClr w14:val="tx1"/>
            </w14:solidFill>
          </w14:textFill>
        </w:rPr>
        <w:t>万元，主要用于</w:t>
      </w:r>
      <w:r>
        <w:rPr>
          <w:rFonts w:hint="eastAsia" w:ascii="仿宋_GB2312" w:hAnsi="ˎ̥" w:eastAsia="仿宋_GB2312"/>
          <w:color w:val="000000" w:themeColor="text1"/>
          <w:sz w:val="32"/>
          <w:szCs w:val="32"/>
          <w:lang w:eastAsia="zh-CN"/>
          <w14:textFill>
            <w14:solidFill>
              <w14:schemeClr w14:val="tx1"/>
            </w14:solidFill>
          </w14:textFill>
        </w:rPr>
        <w:t>公车维修和运行</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Cs/>
          <w:sz w:val="32"/>
          <w:szCs w:val="32"/>
        </w:rPr>
      </w:pPr>
      <w:r>
        <w:rPr>
          <w:rFonts w:hint="eastAsia" w:ascii="仿宋_GB2312" w:hAnsi="ˎ̥" w:eastAsia="仿宋_GB2312"/>
          <w:bCs/>
          <w:sz w:val="32"/>
          <w:szCs w:val="32"/>
        </w:rPr>
        <w:t>公务</w:t>
      </w:r>
      <w:r>
        <w:rPr>
          <w:rFonts w:hint="eastAsia" w:ascii="仿宋_GB2312" w:hAnsi="ˎ̥" w:eastAsia="仿宋_GB2312"/>
          <w:bCs/>
          <w:color w:val="000000" w:themeColor="text1"/>
          <w:sz w:val="32"/>
          <w:szCs w:val="32"/>
          <w14:textFill>
            <w14:solidFill>
              <w14:schemeClr w14:val="tx1"/>
            </w14:solidFill>
          </w14:textFill>
        </w:rPr>
        <w:t>用车购置及运行维护费支出决算数</w:t>
      </w:r>
      <w:r>
        <w:rPr>
          <w:rFonts w:hint="eastAsia" w:ascii="仿宋_GB2312" w:hAnsi="ˎ̥" w:eastAsia="仿宋_GB2312"/>
          <w:color w:val="000000" w:themeColor="text1"/>
          <w:sz w:val="32"/>
          <w:szCs w:val="32"/>
          <w14:textFill>
            <w14:solidFill>
              <w14:schemeClr w14:val="tx1"/>
            </w14:solidFill>
          </w14:textFill>
        </w:rPr>
        <w:t>比预算数增加</w:t>
      </w:r>
      <w:r>
        <w:rPr>
          <w:rFonts w:hint="eastAsia" w:ascii="仿宋_GB2312" w:hAnsi="ˎ̥" w:eastAsia="仿宋_GB2312"/>
          <w:color w:val="000000" w:themeColor="text1"/>
          <w:sz w:val="32"/>
          <w:szCs w:val="32"/>
          <w:lang w:val="en-US" w:eastAsia="zh-CN"/>
          <w14:textFill>
            <w14:solidFill>
              <w14:schemeClr w14:val="tx1"/>
            </w14:solidFill>
          </w14:textFill>
        </w:rPr>
        <w:t>2.03</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color w:val="000000" w:themeColor="text1"/>
          <w:sz w:val="32"/>
          <w:szCs w:val="32"/>
          <w:lang w:val="en-US" w:eastAsia="zh-CN"/>
          <w14:textFill>
            <w14:solidFill>
              <w14:schemeClr w14:val="tx1"/>
            </w14:solidFill>
          </w14:textFill>
        </w:rPr>
        <w:t>完成预算的101.5</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w:t>
      </w:r>
      <w:r>
        <w:rPr>
          <w:rFonts w:ascii="仿宋_GB2312" w:hAnsi="ˎ̥" w:eastAsia="仿宋_GB2312"/>
          <w:color w:val="000000" w:themeColor="text1"/>
          <w:sz w:val="32"/>
          <w:szCs w:val="32"/>
          <w14:textFill>
            <w14:solidFill>
              <w14:schemeClr w14:val="tx1"/>
            </w14:solidFill>
          </w14:textFill>
        </w:rPr>
        <w:t>相比，</w:t>
      </w:r>
      <w:r>
        <w:rPr>
          <w:rFonts w:hint="eastAsia" w:ascii="仿宋_GB2312" w:hAnsi="ˎ̥" w:eastAsia="仿宋_GB2312"/>
          <w:bCs/>
          <w:color w:val="000000" w:themeColor="text1"/>
          <w:sz w:val="32"/>
          <w:szCs w:val="32"/>
          <w14:textFill>
            <w14:solidFill>
              <w14:schemeClr w14:val="tx1"/>
            </w14:solidFill>
          </w14:textFill>
        </w:rPr>
        <w:t>公务用车购置及运行维护费</w:t>
      </w:r>
      <w:r>
        <w:rPr>
          <w:rFonts w:hint="eastAsia" w:ascii="仿宋_GB2312" w:hAnsi="ˎ̥" w:eastAsia="仿宋_GB2312"/>
          <w:color w:val="000000" w:themeColor="text1"/>
          <w:sz w:val="32"/>
          <w:szCs w:val="32"/>
          <w14:textFill>
            <w14:solidFill>
              <w14:schemeClr w14:val="tx1"/>
            </w14:solidFill>
          </w14:textFill>
        </w:rPr>
        <w:t>支出增加</w:t>
      </w:r>
      <w:r>
        <w:rPr>
          <w:rFonts w:hint="eastAsia" w:ascii="仿宋_GB2312" w:hAnsi="黑体" w:eastAsia="仿宋_GB2312" w:cs="黑体"/>
          <w:color w:val="000000" w:themeColor="text1"/>
          <w:sz w:val="32"/>
          <w:szCs w:val="32"/>
          <w:lang w:val="en-US" w:eastAsia="zh-CN"/>
          <w14:textFill>
            <w14:solidFill>
              <w14:schemeClr w14:val="tx1"/>
            </w14:solidFill>
          </w14:textFill>
        </w:rPr>
        <w:t>1.94</w:t>
      </w:r>
      <w:r>
        <w:rPr>
          <w:rFonts w:hint="eastAsia" w:ascii="仿宋_GB2312" w:hAnsi="黑体" w:eastAsia="仿宋_GB2312" w:cs="黑体"/>
          <w:color w:val="000000" w:themeColor="text1"/>
          <w:sz w:val="32"/>
          <w:szCs w:val="32"/>
          <w14:textFill>
            <w14:solidFill>
              <w14:schemeClr w14:val="tx1"/>
            </w14:solidFill>
          </w14:textFill>
        </w:rPr>
        <w:t>万元，原因为2024年公务用车维修</w:t>
      </w:r>
      <w:r>
        <w:rPr>
          <w:rFonts w:hint="eastAsia" w:ascii="仿宋_GB2312" w:hAnsi="黑体" w:eastAsia="仿宋_GB2312" w:cs="黑体"/>
          <w:color w:val="000000" w:themeColor="text1"/>
          <w:sz w:val="32"/>
          <w:szCs w:val="32"/>
          <w:lang w:eastAsia="zh-CN"/>
          <w14:textFill>
            <w14:solidFill>
              <w14:schemeClr w14:val="tx1"/>
            </w14:solidFill>
          </w14:textFill>
        </w:rPr>
        <w:t>增加</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000000" w:themeColor="text1"/>
          <w:sz w:val="32"/>
          <w:szCs w:val="32"/>
          <w:lang w:eastAsia="zh-CN"/>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 xml:space="preserve">    3.公务接待费</w:t>
      </w:r>
      <w:r>
        <w:rPr>
          <w:rFonts w:hint="eastAsia" w:ascii="仿宋_GB2312" w:hAnsi="ˎ̥" w:eastAsia="仿宋_GB2312"/>
          <w:b w:val="0"/>
          <w:bCs/>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default" w:ascii="仿宋_GB2312" w:hAnsi="ˎ̥" w:eastAsia="仿宋_GB2312"/>
          <w:sz w:val="32"/>
          <w:szCs w:val="32"/>
          <w:lang w:val="en-US"/>
        </w:rPr>
        <w:t>2024</w:t>
      </w:r>
      <w:r>
        <w:rPr>
          <w:rFonts w:hint="eastAsia" w:ascii="仿宋_GB2312" w:hAnsi="ˎ̥" w:eastAsia="仿宋_GB2312"/>
          <w:sz w:val="32"/>
          <w:szCs w:val="32"/>
        </w:rPr>
        <w:t>年度“三公”经费预算数、决算数可取自财决公开09表，出国团组数、出国人次，公务用车购置数、公务用车保有量，接待团组数、接待人次可取自部门决算报表F03表《机构运行信息表》，</w:t>
      </w:r>
      <w:r>
        <w:rPr>
          <w:rFonts w:hint="default" w:ascii="仿宋_GB2312" w:hAnsi="ˎ̥" w:eastAsia="仿宋_GB2312"/>
          <w:sz w:val="32"/>
          <w:szCs w:val="32"/>
          <w:lang w:val="en-US"/>
        </w:rPr>
        <w:t>2023</w:t>
      </w:r>
      <w:r>
        <w:rPr>
          <w:rFonts w:hint="eastAsia" w:ascii="仿宋_GB2312" w:hAnsi="ˎ̥" w:eastAsia="仿宋_GB2312"/>
          <w:sz w:val="32"/>
          <w:szCs w:val="32"/>
        </w:rPr>
        <w:t>年度相关</w:t>
      </w:r>
      <w:r>
        <w:rPr>
          <w:rFonts w:ascii="仿宋_GB2312" w:hAnsi="ˎ̥" w:eastAsia="仿宋_GB2312"/>
          <w:sz w:val="32"/>
          <w:szCs w:val="32"/>
        </w:rPr>
        <w:t>数据</w:t>
      </w:r>
      <w:r>
        <w:rPr>
          <w:rFonts w:hint="eastAsia" w:ascii="仿宋_GB2312" w:hAnsi="ˎ̥" w:eastAsia="仿宋_GB2312"/>
          <w:sz w:val="32"/>
          <w:szCs w:val="32"/>
        </w:rPr>
        <w:t>可取自</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部门决算报表</w:t>
      </w:r>
      <w:r>
        <w:rPr>
          <w:rFonts w:hint="eastAsia" w:ascii="仿宋_GB2312" w:hAnsi="ˎ̥" w:eastAsia="仿宋_GB2312"/>
          <w:sz w:val="32"/>
          <w:szCs w:val="32"/>
        </w:rPr>
        <w:t>F03表《机构</w:t>
      </w:r>
      <w:r>
        <w:rPr>
          <w:rFonts w:ascii="仿宋_GB2312" w:hAnsi="ˎ̥" w:eastAsia="仿宋_GB2312"/>
          <w:sz w:val="32"/>
          <w:szCs w:val="32"/>
        </w:rPr>
        <w:t>运行信息表》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十、预算绩效情况说明</w:t>
      </w:r>
    </w:p>
    <w:p>
      <w:pPr>
        <w:pStyle w:val="3"/>
        <w:ind w:left="0" w:leftChars="0" w:firstLine="640" w:firstLineChars="200"/>
        <w:rPr>
          <w:rFonts w:hint="eastAsia" w:ascii="楷体_GB2312" w:hAnsi="楷体_GB2312" w:eastAsia="楷体_GB2312" w:cs="楷体_GB2312"/>
          <w:color w:val="000000"/>
          <w:shd w:val="clear" w:color="auto" w:fill="FFFFFF"/>
          <w:lang w:eastAsia="zh-CN"/>
        </w:rPr>
      </w:pPr>
      <w:r>
        <w:rPr>
          <w:rFonts w:hint="eastAsia" w:ascii="楷体_GB2312" w:hAnsi="楷体_GB2312" w:eastAsia="楷体_GB2312" w:cs="楷体_GB2312"/>
          <w:color w:val="000000"/>
          <w:shd w:val="clear" w:color="auto" w:fill="FFFFFF"/>
          <w:lang w:eastAsia="zh-CN"/>
        </w:rPr>
        <w:t>（一）绩效评价开展情况</w:t>
      </w:r>
    </w:p>
    <w:p>
      <w:pPr>
        <w:pStyle w:val="3"/>
        <w:ind w:left="0" w:leftChars="0" w:firstLine="640" w:firstLineChars="200"/>
        <w:rPr>
          <w:rFonts w:hint="eastAsia" w:cs="仿宋_GB2312"/>
        </w:rPr>
      </w:pPr>
      <w:r>
        <w:rPr>
          <w:rFonts w:hint="eastAsia" w:hAnsi="Helvetica" w:cs="Helvetica"/>
          <w:color w:val="000000"/>
          <w:shd w:val="clear" w:color="auto" w:fill="FFFFFF"/>
        </w:rPr>
        <w:t>根据财政预算管理，我局对2024年度预算项目支出开展绩效自评，共涉及预算支出项目</w:t>
      </w:r>
      <w:r>
        <w:rPr>
          <w:rFonts w:hint="eastAsia" w:hAnsi="Helvetica" w:cs="Helvetica"/>
          <w:color w:val="000000"/>
          <w:shd w:val="clear" w:color="auto" w:fill="FFFFFF"/>
          <w:lang w:val="en-US" w:eastAsia="zh-CN"/>
        </w:rPr>
        <w:t>38</w:t>
      </w:r>
      <w:r>
        <w:rPr>
          <w:rFonts w:hint="eastAsia" w:hAnsi="Helvetica" w:cs="Helvetica"/>
          <w:color w:val="000000"/>
          <w:shd w:val="clear" w:color="auto" w:fill="FFFFFF"/>
        </w:rPr>
        <w:t>个，涉及资金</w:t>
      </w:r>
      <w:r>
        <w:rPr>
          <w:rFonts w:hint="eastAsia" w:hAnsi="Helvetica" w:cs="Helvetica"/>
          <w:color w:val="000000"/>
          <w:shd w:val="clear" w:color="auto" w:fill="FFFFFF"/>
          <w:lang w:val="en-US" w:eastAsia="zh-CN"/>
        </w:rPr>
        <w:t>4280.36</w:t>
      </w:r>
      <w:r>
        <w:rPr>
          <w:rFonts w:hint="eastAsia" w:hAnsi="Helvetica" w:cs="Helvetica"/>
          <w:color w:val="000000"/>
          <w:shd w:val="clear" w:color="auto" w:fill="FFFFFF"/>
        </w:rPr>
        <w:t>万元</w:t>
      </w:r>
      <w:r>
        <w:rPr>
          <w:rFonts w:hint="eastAsia" w:hAnsi="Helvetica" w:cs="Helvetica"/>
          <w:color w:val="000000"/>
          <w:shd w:val="clear" w:color="auto" w:fill="FFFFFF"/>
          <w:lang w:eastAsia="zh-CN"/>
        </w:rPr>
        <w:t>，占一般公共预算项目支出总额</w:t>
      </w:r>
      <w:r>
        <w:rPr>
          <w:rFonts w:hint="eastAsia" w:hAnsi="Helvetica" w:cs="Helvetica"/>
          <w:color w:val="000000"/>
          <w:shd w:val="clear" w:color="auto" w:fill="FFFFFF"/>
          <w:lang w:val="en-US" w:eastAsia="zh-CN"/>
        </w:rPr>
        <w:t>100%</w:t>
      </w:r>
      <w:r>
        <w:rPr>
          <w:rFonts w:hint="eastAsia" w:hAnsi="Helvetica" w:cs="Helvetica"/>
          <w:color w:val="000000"/>
          <w:shd w:val="clear" w:color="auto" w:fill="FFFFFF"/>
        </w:rPr>
        <w:t>。</w:t>
      </w:r>
      <w:r>
        <w:rPr>
          <w:rFonts w:hint="eastAsia" w:hAnsi="Helvetica" w:cs="Helvetica"/>
          <w:color w:val="000000"/>
          <w:shd w:val="clear" w:color="auto" w:fill="FFFFFF"/>
          <w:lang w:eastAsia="zh-CN"/>
        </w:rPr>
        <w:t>从评价情况看，项目立项程序规范完整，绩效目标设置合理，与实际需求相符，项目业务管理制度健全，质量管控措施有效，各项工作有序开展，项目财务管理制度完善，资金使用规范有效，项目预期的绩效目标完成率高，均达到了预期效果，完成质量达到标准要求，时效性强，效益显著。</w:t>
      </w:r>
    </w:p>
    <w:p>
      <w:pPr>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（二）绩效自评结果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Cs/>
          <w:sz w:val="32"/>
          <w:szCs w:val="32"/>
          <w:lang w:eastAsia="zh-CN"/>
        </w:rPr>
        <w:t>根据年初设定绩效目标，项目自评得分</w:t>
      </w:r>
      <w:r>
        <w:rPr>
          <w:rFonts w:hint="eastAsia" w:ascii="仿宋_GB2312" w:hAnsi="仿宋_GB2312" w:eastAsia="仿宋_GB2312" w:cs="仿宋_GB2312"/>
          <w:bCs/>
          <w:sz w:val="32"/>
          <w:szCs w:val="32"/>
          <w:lang w:val="en-US" w:eastAsia="zh-CN"/>
        </w:rPr>
        <w:t>9分</w:t>
      </w:r>
      <w:r>
        <w:rPr>
          <w:rFonts w:hint="eastAsia" w:ascii="仿宋_GB2312" w:hAnsi="仿宋_GB2312" w:eastAsia="仿宋_GB2312" w:cs="仿宋_GB2312"/>
          <w:bCs/>
          <w:sz w:val="32"/>
          <w:szCs w:val="32"/>
          <w:lang w:eastAsia="zh-CN"/>
        </w:rPr>
        <w:t>，项目全年预算数</w:t>
      </w:r>
      <w:r>
        <w:rPr>
          <w:rFonts w:hint="eastAsia" w:ascii="仿宋_GB2312" w:hAnsi="仿宋_GB2312" w:eastAsia="仿宋_GB2312" w:cs="仿宋_GB2312"/>
          <w:bCs/>
          <w:sz w:val="32"/>
          <w:szCs w:val="32"/>
          <w:lang w:val="en-US" w:eastAsia="zh-CN"/>
        </w:rPr>
        <w:t>4672.52万元，执行数</w:t>
      </w:r>
      <w:r>
        <w:rPr>
          <w:rFonts w:hint="eastAsia" w:ascii="仿宋_GB2312" w:hAnsi="仿宋_GB2312" w:eastAsia="仿宋_GB2312" w:cs="仿宋_GB2312"/>
          <w:color w:val="000000"/>
          <w:sz w:val="32"/>
          <w:szCs w:val="32"/>
          <w:shd w:val="clear" w:color="auto" w:fill="FFFFFF"/>
          <w:lang w:val="en-US" w:eastAsia="zh-CN"/>
        </w:rPr>
        <w:t>4280.36万元，预算执行率为91.61%。</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000000"/>
          <w:sz w:val="32"/>
          <w:szCs w:val="32"/>
          <w:shd w:val="clear" w:color="auto" w:fill="FFFFFF"/>
          <w:lang w:val="en-US" w:eastAsia="zh-CN"/>
        </w:rPr>
      </w:pPr>
    </w:p>
    <w:tbl>
      <w:tblPr>
        <w:tblStyle w:val="8"/>
        <w:tblpPr w:leftFromText="180" w:rightFromText="180" w:vertAnchor="text" w:horzAnchor="page" w:tblpXSpec="center" w:tblpY="783"/>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6"/>
        <w:gridCol w:w="487"/>
        <w:gridCol w:w="562"/>
        <w:gridCol w:w="582"/>
        <w:gridCol w:w="832"/>
        <w:gridCol w:w="989"/>
        <w:gridCol w:w="989"/>
        <w:gridCol w:w="1221"/>
        <w:gridCol w:w="817"/>
        <w:gridCol w:w="478"/>
        <w:gridCol w:w="479"/>
        <w:gridCol w:w="1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5000" w:type="pct"/>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8"/>
                <w:szCs w:val="28"/>
                <w:u w:val="none"/>
              </w:rPr>
            </w:pPr>
            <w:r>
              <w:rPr>
                <w:rFonts w:hint="eastAsia" w:ascii="方正小标宋简体" w:hAnsi="方正小标宋简体" w:eastAsia="方正小标宋简体" w:cs="方正小标宋简体"/>
                <w:i w:val="0"/>
                <w:iCs w:val="0"/>
                <w:color w:val="000000"/>
                <w:kern w:val="0"/>
                <w:sz w:val="28"/>
                <w:szCs w:val="28"/>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　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项目名称</w:t>
            </w:r>
          </w:p>
        </w:tc>
        <w:tc>
          <w:tcPr>
            <w:tcW w:w="449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2024年度预算支出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4"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主管部门及代码</w:t>
            </w:r>
          </w:p>
        </w:tc>
        <w:tc>
          <w:tcPr>
            <w:tcW w:w="163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123-墨脱县交通运输局</w:t>
            </w:r>
          </w:p>
        </w:tc>
        <w:tc>
          <w:tcPr>
            <w:tcW w:w="12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实施单位</w:t>
            </w:r>
          </w:p>
        </w:tc>
        <w:tc>
          <w:tcPr>
            <w:tcW w:w="163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123001-墨脱县交通运输局机关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04" w:type="pct"/>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项目资金（万元）</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年初预算</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全年预算数</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全年执行数</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分值</w:t>
            </w:r>
          </w:p>
        </w:tc>
        <w:tc>
          <w:tcPr>
            <w:tcW w:w="7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执行率</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4" w:type="pct"/>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年度/项目资金总额</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1168.25</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4672.52</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4280.36</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91.61%</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4" w:type="pct"/>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其中：财政拨款</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1168.25</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4672.52</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4280.36</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91.61%</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04" w:type="pct"/>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其他资金</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7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35"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年度目标</w:t>
            </w:r>
          </w:p>
        </w:tc>
        <w:tc>
          <w:tcPr>
            <w:tcW w:w="135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预期目标</w:t>
            </w:r>
          </w:p>
        </w:tc>
        <w:tc>
          <w:tcPr>
            <w:tcW w:w="3405" w:type="pct"/>
            <w:gridSpan w:val="7"/>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jc w:val="center"/>
        </w:trPr>
        <w:tc>
          <w:tcPr>
            <w:tcW w:w="235"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5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1、聚焦重点交通建设工程，全面加强保障服务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2、持续做好农村公路养护工作，确保农村交通网络的畅通与安全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3、强化安全生产监管，以高度的责任感和使命感，持续开展交通领域项目安全生产督导检查工作</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4、强化路面执法，确保交通顺畅与安全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5、严格执行“三会一课”、主题党日、组织生活会、谈心谈话等党内基本制度，确保党的组织生活规范有序，党员教育管理扎实有效。</w:t>
            </w:r>
          </w:p>
        </w:tc>
        <w:tc>
          <w:tcPr>
            <w:tcW w:w="340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1、投资3829.63万元，实施了农村公路应急水毁修复项目修复，确保各项重点交通建设工程顺利推进。</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2、投资444.93万元，组织道路安全隐患排查200余次，及时发现并处理潜在风险点159处，开展保通工作100余次，有效预防了交通事故的发生。</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3、投入1.85万元，加大执法力度，确保交通领域安全生产。全年累计开展综合执法15次，出动执法人员33人次。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投入3.95万元，加强党建引领与业务工作的深度融合，积极党建探索创新，将党建工作与业务工作紧密结合、相互促进。累计开展局周学习会35次，党纪学习教育学习会14次，主题党日活动12次，“六进六同”活动4次，学习贯彻二十届三中全会交流研讨7人次，参观廉政教育基地及爱国强边教育基地各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绩效指标</w:t>
            </w:r>
          </w:p>
        </w:tc>
        <w:tc>
          <w:tcPr>
            <w:tcW w:w="26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一级指标</w:t>
            </w:r>
          </w:p>
        </w:tc>
        <w:tc>
          <w:tcPr>
            <w:tcW w:w="31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二级指标</w:t>
            </w:r>
          </w:p>
        </w:tc>
        <w:tc>
          <w:tcPr>
            <w:tcW w:w="3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三级指标</w:t>
            </w:r>
          </w:p>
        </w:tc>
        <w:tc>
          <w:tcPr>
            <w:tcW w:w="45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指标性质</w:t>
            </w:r>
          </w:p>
        </w:tc>
        <w:tc>
          <w:tcPr>
            <w:tcW w:w="54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年度指标值</w:t>
            </w:r>
          </w:p>
        </w:tc>
        <w:tc>
          <w:tcPr>
            <w:tcW w:w="54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度量单位</w:t>
            </w:r>
          </w:p>
        </w:tc>
        <w:tc>
          <w:tcPr>
            <w:tcW w:w="674"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实际完成值</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完成率</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分值</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得分</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未完成原因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产出指标</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数量指标</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涉及项目</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38</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个</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38个</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10</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产出指标</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数量指标</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涉及资金</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4672.52</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万元</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4280.36万元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91.61%</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9</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为项目尾款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产出指标</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质量指标</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资金到位率</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95</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10</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产出指标</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质量指标</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资金支出率</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95</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92%</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92%</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9</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为项目尾款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产出指标</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时效指标</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超出预算比例</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5</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100%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10</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成本指标</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经济成本指标</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重点项目投资</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4219.32</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万元</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3829.63万元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90%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9</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成本指标</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经济成本指标</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其他业务投资</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453.2</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万元</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450.73万元</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99%</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9</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效益指标</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可持续影响指标</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保障交通运输事业发展</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定性</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好</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好</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100%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10</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效益指标</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社会效益指标</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保障出行率</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定性</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好</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好</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100%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10</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满意度指标</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服务对象满意度指标</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群众满意度</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95</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100%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10</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16"/>
                <w:szCs w:val="16"/>
                <w:u w:val="none"/>
              </w:rPr>
            </w:pPr>
          </w:p>
        </w:tc>
      </w:tr>
    </w:tbl>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94" w:name="_Toc18325_WPSOffice_Level2"/>
      <w:bookmarkStart w:id="95" w:name="_Toc15565_WPSOffice_Level2"/>
      <w:bookmarkStart w:id="96" w:name="_Toc23598_WPSOffice_Level2"/>
      <w:bookmarkStart w:id="97" w:name="_Toc32639_WPSOffice_Level2"/>
      <w:bookmarkStart w:id="98" w:name="_Toc5978_WPSOffice_Level2"/>
      <w:bookmarkStart w:id="99" w:name="_Toc15262_WPSOffice_Level2"/>
      <w:r>
        <w:rPr>
          <w:rFonts w:hint="eastAsia" w:ascii="楷体" w:hAnsi="楷体" w:eastAsia="楷体" w:cs="楷体"/>
          <w:bCs/>
          <w:sz w:val="32"/>
          <w:szCs w:val="32"/>
        </w:rPr>
        <w:t>（一）机关运行经费支出情况</w:t>
      </w:r>
      <w:bookmarkEnd w:id="94"/>
      <w:bookmarkEnd w:id="95"/>
      <w:bookmarkEnd w:id="96"/>
      <w:bookmarkEnd w:id="97"/>
      <w:bookmarkEnd w:id="98"/>
      <w:bookmarkEnd w:id="99"/>
    </w:p>
    <w:p>
      <w:pPr>
        <w:keepNext w:val="0"/>
        <w:keepLines w:val="0"/>
        <w:widowControl/>
        <w:suppressLineNumbers w:val="0"/>
        <w:ind w:firstLine="620" w:firstLineChars="200"/>
        <w:jc w:val="both"/>
        <w:rPr>
          <w:rFonts w:hint="default" w:ascii="仿宋_GB2312" w:hAnsi="ˎ̥" w:eastAsia="仿宋_GB2312"/>
          <w:sz w:val="32"/>
          <w:szCs w:val="32"/>
          <w:lang w:val="en-US"/>
        </w:rPr>
      </w:pPr>
      <w:r>
        <w:rPr>
          <w:rFonts w:hint="eastAsia" w:ascii="仿宋_GB2312" w:hAnsi="宋体" w:eastAsia="仿宋_GB2312" w:cs="仿宋_GB2312"/>
          <w:color w:val="000000"/>
          <w:kern w:val="0"/>
          <w:sz w:val="31"/>
          <w:szCs w:val="31"/>
          <w:lang w:val="en-US" w:eastAsia="zh-CN" w:bidi="ar"/>
        </w:rPr>
        <w:t>交通运输局</w:t>
      </w:r>
      <w:r>
        <w:rPr>
          <w:rFonts w:hint="default" w:ascii="Times New Roman" w:hAnsi="Times New Roman" w:eastAsia="宋体" w:cs="Times New Roman"/>
          <w:color w:val="000000"/>
          <w:kern w:val="0"/>
          <w:sz w:val="31"/>
          <w:szCs w:val="31"/>
          <w:lang w:val="en-US" w:eastAsia="zh-CN" w:bidi="ar"/>
        </w:rPr>
        <w:t xml:space="preserve">2024 </w:t>
      </w:r>
      <w:r>
        <w:rPr>
          <w:rFonts w:hint="eastAsia" w:ascii="仿宋_GB2312" w:hAnsi="宋体" w:eastAsia="仿宋_GB2312" w:cs="仿宋_GB2312"/>
          <w:color w:val="000000"/>
          <w:kern w:val="0"/>
          <w:sz w:val="31"/>
          <w:szCs w:val="31"/>
          <w:lang w:val="en-US" w:eastAsia="zh-CN" w:bidi="ar"/>
        </w:rPr>
        <w:t>年度机关运行经费支出12.92</w:t>
      </w:r>
      <w:r>
        <w:rPr>
          <w:rFonts w:hint="eastAsia" w:ascii="仿宋_GB2312" w:hAnsi="仿宋_GB2312" w:eastAsia="仿宋_GB2312" w:cs="仿宋_GB2312"/>
          <w:b w:val="0"/>
          <w:bCs w:val="0"/>
          <w:color w:val="000000"/>
          <w:kern w:val="0"/>
          <w:sz w:val="32"/>
          <w:szCs w:val="32"/>
          <w:lang w:val="en-US" w:eastAsia="zh-CN" w:bidi="ar"/>
        </w:rPr>
        <w:t>万元，比2023年度增加1.62万元，增长14%。增长原因人员编制数增加。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机关运行经费预算数可取自部门决算报表财决01-1表《财政拨款收入支出决算总表》，年初预算数-一般公共预算财政拨款-公用经费，注意部门汇总公开决算时，因事业单位没有机关运行经费支出，故部门汇总的机关运行经费预算数应为部门所属的各行政单位或参公单位的汇总数；决算数可取自</w:t>
      </w:r>
      <w:r>
        <w:rPr>
          <w:rFonts w:hint="default" w:ascii="仿宋_GB2312" w:hAnsi="ˎ̥" w:eastAsia="仿宋_GB2312"/>
          <w:sz w:val="32"/>
          <w:szCs w:val="32"/>
          <w:lang w:val="en-US"/>
        </w:rPr>
        <w:t>2024</w:t>
      </w:r>
      <w:r>
        <w:rPr>
          <w:rFonts w:hint="eastAsia" w:ascii="仿宋_GB2312" w:hAnsi="ˎ̥" w:eastAsia="仿宋_GB2312"/>
          <w:sz w:val="32"/>
          <w:szCs w:val="32"/>
        </w:rPr>
        <w:t>年度部门决算报表F03表《机构运行信息表》“机关运行经费”栏。）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100" w:name="_Toc32689_WPSOffice_Level2"/>
      <w:bookmarkStart w:id="101" w:name="_Toc13084_WPSOffice_Level2"/>
      <w:bookmarkStart w:id="102" w:name="_Toc23966_WPSOffice_Level2"/>
      <w:bookmarkStart w:id="103" w:name="_Toc30383_WPSOffice_Level2"/>
      <w:bookmarkStart w:id="104" w:name="_Toc3131_WPSOffice_Level2"/>
      <w:bookmarkStart w:id="105" w:name="_Toc25333_WPSOffice_Level2"/>
      <w:r>
        <w:rPr>
          <w:rFonts w:hint="eastAsia" w:ascii="楷体" w:hAnsi="楷体" w:eastAsia="楷体" w:cs="楷体"/>
          <w:bCs/>
          <w:sz w:val="32"/>
          <w:szCs w:val="32"/>
        </w:rPr>
        <w:t>（二）政府采购支出情况</w:t>
      </w:r>
      <w:bookmarkEnd w:id="100"/>
      <w:bookmarkEnd w:id="101"/>
      <w:bookmarkEnd w:id="102"/>
      <w:bookmarkEnd w:id="103"/>
      <w:bookmarkEnd w:id="104"/>
      <w:bookmarkEnd w:id="105"/>
    </w:p>
    <w:p>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交通运输局2024年政府采购支出总额157.46万元，主要为工程采购，比2023年度增加157.46万元，增长100%。</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上述政府采购支出相关</w:t>
      </w:r>
      <w:r>
        <w:rPr>
          <w:rFonts w:hint="eastAsia" w:ascii="仿宋_GB2312" w:hAnsi="ˎ̥" w:eastAsia="仿宋_GB2312"/>
          <w:sz w:val="32"/>
          <w:szCs w:val="32"/>
          <w:lang w:val="en-US" w:eastAsia="zh-CN"/>
        </w:rPr>
        <w:t>数据</w:t>
      </w:r>
      <w:r>
        <w:rPr>
          <w:rFonts w:hint="eastAsia" w:ascii="仿宋_GB2312" w:hAnsi="ˎ̥" w:eastAsia="仿宋_GB2312"/>
          <w:sz w:val="32"/>
          <w:szCs w:val="32"/>
        </w:rPr>
        <w:t>取自</w:t>
      </w:r>
      <w:r>
        <w:rPr>
          <w:rFonts w:hint="default" w:ascii="仿宋_GB2312" w:hAnsi="ˎ̥" w:eastAsia="仿宋_GB2312"/>
          <w:sz w:val="32"/>
          <w:szCs w:val="32"/>
          <w:lang w:val="en-US"/>
        </w:rPr>
        <w:t>2024</w:t>
      </w:r>
      <w:r>
        <w:rPr>
          <w:rFonts w:hint="eastAsia" w:ascii="仿宋_GB2312" w:hAnsi="ˎ̥" w:eastAsia="仿宋_GB2312"/>
          <w:sz w:val="32"/>
          <w:szCs w:val="32"/>
        </w:rPr>
        <w:t>年度部门决算报表F03表《机构运行信息表》，授予中小企业和小微企业合同金额由各部门查阅本部门相关资料填写。）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106" w:name="_Toc19989_WPSOffice_Level2"/>
      <w:bookmarkStart w:id="107" w:name="_Toc527_WPSOffice_Level2"/>
      <w:bookmarkStart w:id="108" w:name="_Toc6016_WPSOffice_Level2"/>
      <w:bookmarkStart w:id="109" w:name="_Toc29584_WPSOffice_Level2"/>
      <w:bookmarkStart w:id="110" w:name="_Toc10902_WPSOffice_Level2"/>
      <w:bookmarkStart w:id="111" w:name="_Toc15129_WPSOffice_Level2"/>
      <w:r>
        <w:rPr>
          <w:rFonts w:hint="eastAsia" w:ascii="楷体" w:hAnsi="楷体" w:eastAsia="楷体" w:cs="楷体"/>
          <w:bCs/>
          <w:sz w:val="32"/>
          <w:szCs w:val="32"/>
        </w:rPr>
        <w:t>（三）国有资产占用情况</w:t>
      </w:r>
      <w:bookmarkEnd w:id="106"/>
      <w:bookmarkEnd w:id="107"/>
      <w:bookmarkEnd w:id="108"/>
      <w:bookmarkEnd w:id="109"/>
      <w:bookmarkEnd w:id="110"/>
      <w:bookmarkEnd w:id="111"/>
    </w:p>
    <w:p>
      <w:pPr>
        <w:keepNext w:val="0"/>
        <w:keepLines w:val="0"/>
        <w:pageBreakBefore w:val="0"/>
        <w:widowControl w:val="0"/>
        <w:kinsoku/>
        <w:wordWrap/>
        <w:overflowPunct/>
        <w:topLinePunct w:val="0"/>
        <w:autoSpaceDE/>
        <w:autoSpaceDN/>
        <w:bidi w:val="0"/>
        <w:adjustRightInd/>
        <w:snapToGrid/>
        <w:spacing w:line="578" w:lineRule="exact"/>
        <w:ind w:firstLine="620" w:firstLineChars="200"/>
        <w:textAlignment w:val="auto"/>
        <w:rPr>
          <w:rFonts w:hint="eastAsia" w:ascii="仿宋_GB2312" w:hAnsi="ˎ̥" w:eastAsia="仿宋_GB2312"/>
          <w:bCs/>
          <w:sz w:val="32"/>
          <w:szCs w:val="32"/>
        </w:rPr>
      </w:pPr>
      <w:r>
        <w:rPr>
          <w:rFonts w:hint="eastAsia" w:ascii="仿宋_GB2312" w:hAnsi="仿宋_GB2312" w:eastAsia="仿宋_GB2312" w:cs="仿宋_GB2312"/>
          <w:color w:val="000000"/>
          <w:kern w:val="0"/>
          <w:sz w:val="31"/>
          <w:szCs w:val="31"/>
          <w:lang w:val="en-US" w:eastAsia="zh-CN" w:bidi="ar"/>
        </w:rPr>
        <w:t>截至 2024年12月31日，交</w:t>
      </w:r>
      <w:r>
        <w:rPr>
          <w:rFonts w:hint="eastAsia" w:ascii="仿宋_GB2312" w:hAnsi="宋体" w:eastAsia="仿宋_GB2312" w:cs="仿宋_GB2312"/>
          <w:color w:val="000000"/>
          <w:kern w:val="0"/>
          <w:sz w:val="31"/>
          <w:szCs w:val="31"/>
          <w:lang w:val="en-US" w:eastAsia="zh-CN" w:bidi="ar"/>
        </w:rPr>
        <w:t>通运输局</w:t>
      </w:r>
      <w:r>
        <w:rPr>
          <w:rFonts w:hint="eastAsia" w:ascii="仿宋_GB2312" w:hAnsi="ˎ̥" w:eastAsia="仿宋_GB2312"/>
          <w:bCs/>
          <w:sz w:val="32"/>
          <w:szCs w:val="32"/>
        </w:rPr>
        <w:t>拥有</w:t>
      </w:r>
      <w:r>
        <w:rPr>
          <w:rFonts w:hint="eastAsia" w:ascii="仿宋_GB2312" w:hAnsi="ˎ̥" w:eastAsia="仿宋_GB2312"/>
          <w:sz w:val="32"/>
          <w:szCs w:val="32"/>
        </w:rPr>
        <w:t>房屋面积</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平</w:t>
      </w:r>
      <w:r>
        <w:rPr>
          <w:rFonts w:hint="eastAsia" w:ascii="仿宋_GB2312" w:hAnsi="ˎ̥" w:eastAsia="仿宋_GB2312"/>
          <w:sz w:val="32"/>
          <w:szCs w:val="32"/>
        </w:rPr>
        <w:t>方米</w:t>
      </w:r>
      <w:r>
        <w:rPr>
          <w:rFonts w:hint="eastAsia" w:ascii="仿宋_GB2312" w:hAnsi="ˎ̥" w:eastAsia="仿宋_GB2312"/>
          <w:sz w:val="32"/>
          <w:szCs w:val="32"/>
          <w:lang w:eastAsia="zh-CN"/>
        </w:rPr>
        <w:t>。</w:t>
      </w:r>
      <w:r>
        <w:rPr>
          <w:rFonts w:hint="eastAsia" w:ascii="仿宋_GB2312" w:hAnsi="宋体" w:eastAsia="仿宋_GB2312" w:cs="仿宋_GB2312"/>
          <w:color w:val="000000"/>
          <w:kern w:val="0"/>
          <w:sz w:val="31"/>
          <w:szCs w:val="31"/>
          <w:lang w:val="en-US" w:eastAsia="zh-CN" w:bidi="ar"/>
        </w:rPr>
        <w:t>车辆17辆，其中执法车辆1辆，农村公路养护车辆16辆。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上述国有资产占用情况相关数</w:t>
      </w:r>
      <w:r>
        <w:rPr>
          <w:rFonts w:hint="eastAsia" w:ascii="仿宋_GB2312" w:hAnsi="ˎ̥" w:eastAsia="仿宋_GB2312"/>
          <w:sz w:val="32"/>
          <w:szCs w:val="32"/>
          <w:lang w:val="en-US" w:eastAsia="zh-CN"/>
        </w:rPr>
        <w:t>据</w:t>
      </w:r>
      <w:r>
        <w:rPr>
          <w:rFonts w:hint="eastAsia" w:ascii="仿宋_GB2312" w:hAnsi="ˎ̥" w:eastAsia="仿宋_GB2312"/>
          <w:sz w:val="32"/>
          <w:szCs w:val="32"/>
        </w:rPr>
        <w:t>取自</w:t>
      </w:r>
      <w:r>
        <w:rPr>
          <w:rFonts w:hint="default" w:ascii="仿宋_GB2312" w:hAnsi="ˎ̥" w:eastAsia="仿宋_GB2312"/>
          <w:sz w:val="32"/>
          <w:szCs w:val="32"/>
          <w:lang w:val="en-US"/>
        </w:rPr>
        <w:t>2024</w:t>
      </w:r>
      <w:r>
        <w:rPr>
          <w:rFonts w:hint="eastAsia" w:ascii="仿宋_GB2312" w:hAnsi="ˎ̥" w:eastAsia="仿宋_GB2312"/>
          <w:sz w:val="32"/>
          <w:szCs w:val="32"/>
        </w:rPr>
        <w:t>年度部门决算F0</w:t>
      </w:r>
      <w:r>
        <w:rPr>
          <w:rFonts w:hint="default" w:ascii="仿宋_GB2312" w:hAnsi="ˎ̥" w:eastAsia="仿宋_GB2312"/>
          <w:sz w:val="32"/>
          <w:szCs w:val="32"/>
          <w:lang w:val="en-US"/>
        </w:rPr>
        <w:t>2</w:t>
      </w:r>
      <w:r>
        <w:rPr>
          <w:rFonts w:hint="eastAsia" w:ascii="仿宋_GB2312" w:hAnsi="ˎ̥" w:eastAsia="仿宋_GB2312"/>
          <w:sz w:val="32"/>
          <w:szCs w:val="32"/>
        </w:rPr>
        <w:t>表《预算支出相关信息表》、F03表《机构运行信息表》。）</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bookmarkStart w:id="112" w:name="_Toc8874_WPSOffice_Level1"/>
      <w:bookmarkStart w:id="113" w:name="_Toc17580_WPSOffice_Level1"/>
      <w:bookmarkStart w:id="114" w:name="_Toc4398_WPSOffice_Level1"/>
      <w:bookmarkStart w:id="115" w:name="_Toc11039_WPSOffice_Level1"/>
      <w:bookmarkStart w:id="116" w:name="_Toc8808_WPSOffice_Level1"/>
      <w:bookmarkStart w:id="117" w:name="_Toc15425_WPSOffice_Level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r>
        <w:rPr>
          <w:rFonts w:hint="eastAsia" w:ascii="黑体" w:hAnsi="ˎ̥" w:eastAsia="黑体"/>
          <w:sz w:val="32"/>
          <w:szCs w:val="32"/>
        </w:rPr>
        <w:t>第四部分  名词解释</w:t>
      </w:r>
      <w:bookmarkEnd w:id="112"/>
      <w:bookmarkEnd w:id="113"/>
      <w:bookmarkEnd w:id="114"/>
      <w:bookmarkEnd w:id="115"/>
      <w:bookmarkEnd w:id="116"/>
      <w:bookmarkEnd w:id="117"/>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rPr>
      </w:pPr>
      <w:r>
        <w:rPr>
          <w:rFonts w:hint="eastAsia" w:ascii="仿宋_GB2312" w:hAnsi="ˎ̥"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textAlignment w:val="auto"/>
      </w:pPr>
      <w:bookmarkStart w:id="118" w:name="_GoBack"/>
      <w:bookmarkEnd w:id="118"/>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ˎ̥">
    <w:altName w:val="汉仪新人文宋简"/>
    <w:panose1 w:val="00000000000000000000"/>
    <w:charset w:val="00"/>
    <w:family w:val="roman"/>
    <w:pitch w:val="default"/>
    <w:sig w:usb0="00000000" w:usb1="00000000" w:usb2="00000000"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Segoe UI">
    <w:altName w:val="Noto Naskh Arabic"/>
    <w:panose1 w:val="020B0502040204020203"/>
    <w:charset w:val="00"/>
    <w:family w:val="swiss"/>
    <w:pitch w:val="default"/>
    <w:sig w:usb0="00000000" w:usb1="00000000" w:usb2="00000029" w:usb3="00000000" w:csb0="200001DF" w:csb1="20000000"/>
  </w:font>
  <w:font w:name="Helvetica">
    <w:altName w:val="汉仪君黑-35简"/>
    <w:panose1 w:val="020B0604020202020204"/>
    <w:charset w:val="00"/>
    <w:family w:val="swiss"/>
    <w:pitch w:val="default"/>
    <w:sig w:usb0="00000000" w:usb1="00000000" w:usb2="00000009" w:usb3="00000000" w:csb0="000001F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汉仪新人文宋简">
    <w:panose1 w:val="00020600040101010101"/>
    <w:charset w:val="86"/>
    <w:family w:val="auto"/>
    <w:pitch w:val="default"/>
    <w:sig w:usb0="A00002BF" w:usb1="1ACF7CFA" w:usb2="00000016" w:usb3="00000000" w:csb0="0004009F" w:csb1="DFD70000"/>
  </w:font>
  <w:font w:name="Noto Naskh Arabic">
    <w:panose1 w:val="020B0502040504020204"/>
    <w:charset w:val="00"/>
    <w:family w:val="auto"/>
    <w:pitch w:val="default"/>
    <w:sig w:usb0="00002000" w:usb1="80000000" w:usb2="00000008" w:usb3="00000000" w:csb0="00000041" w:csb1="00080000"/>
  </w:font>
  <w:font w:name="汉仪君黑-35简">
    <w:panose1 w:val="020B0604020202020204"/>
    <w:charset w:val="86"/>
    <w:family w:val="auto"/>
    <w:pitch w:val="default"/>
    <w:sig w:usb0="A00002BF" w:usb1="0ACF7CFA" w:usb2="00000016" w:usb3="00000000" w:csb0="2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18</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E2D725F4"/>
    <w:multiLevelType w:val="singleLevel"/>
    <w:tmpl w:val="E2D725F4"/>
    <w:lvl w:ilvl="0" w:tentative="0">
      <w:start w:val="1"/>
      <w:numFmt w:val="chineseCounting"/>
      <w:suff w:val="nothing"/>
      <w:lvlText w:val="%1、"/>
      <w:lvlJc w:val="left"/>
      <w:rPr>
        <w:rFonts w:hint="eastAsia"/>
      </w:rPr>
    </w:lvl>
  </w:abstractNum>
  <w:abstractNum w:abstractNumId="2">
    <w:nsid w:val="72109F8D"/>
    <w:multiLevelType w:val="singleLevel"/>
    <w:tmpl w:val="72109F8D"/>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1CE5D20"/>
    <w:rsid w:val="08553128"/>
    <w:rsid w:val="09201287"/>
    <w:rsid w:val="0AD32BA5"/>
    <w:rsid w:val="0AFD381B"/>
    <w:rsid w:val="0B095AB3"/>
    <w:rsid w:val="0C36721D"/>
    <w:rsid w:val="0FC80124"/>
    <w:rsid w:val="11F03528"/>
    <w:rsid w:val="136F98C7"/>
    <w:rsid w:val="17427E68"/>
    <w:rsid w:val="1755065F"/>
    <w:rsid w:val="1AFC29C9"/>
    <w:rsid w:val="1C7C24C7"/>
    <w:rsid w:val="1CA52F2E"/>
    <w:rsid w:val="1DFE370B"/>
    <w:rsid w:val="1E3630B9"/>
    <w:rsid w:val="1FD94A26"/>
    <w:rsid w:val="205E0FAC"/>
    <w:rsid w:val="21897ECB"/>
    <w:rsid w:val="26EEC2B5"/>
    <w:rsid w:val="29472309"/>
    <w:rsid w:val="2B406E77"/>
    <w:rsid w:val="2C2A0C43"/>
    <w:rsid w:val="2CB26868"/>
    <w:rsid w:val="2D1E73A5"/>
    <w:rsid w:val="2E7057DA"/>
    <w:rsid w:val="30D85BBF"/>
    <w:rsid w:val="32717154"/>
    <w:rsid w:val="330D53A2"/>
    <w:rsid w:val="34B63260"/>
    <w:rsid w:val="355D38A7"/>
    <w:rsid w:val="37FDA7E2"/>
    <w:rsid w:val="38F64B42"/>
    <w:rsid w:val="3A314D88"/>
    <w:rsid w:val="3A746883"/>
    <w:rsid w:val="3CA15DE9"/>
    <w:rsid w:val="3FE61EE5"/>
    <w:rsid w:val="406508EE"/>
    <w:rsid w:val="408D6263"/>
    <w:rsid w:val="41B40CEE"/>
    <w:rsid w:val="479D6965"/>
    <w:rsid w:val="48317291"/>
    <w:rsid w:val="485F7024"/>
    <w:rsid w:val="48DF241F"/>
    <w:rsid w:val="48E70666"/>
    <w:rsid w:val="49A7154E"/>
    <w:rsid w:val="4C6877E5"/>
    <w:rsid w:val="4D6A468D"/>
    <w:rsid w:val="4EA86137"/>
    <w:rsid w:val="512F0AE0"/>
    <w:rsid w:val="566C1D9F"/>
    <w:rsid w:val="56CA7FD0"/>
    <w:rsid w:val="57FA38D1"/>
    <w:rsid w:val="5D9A56C3"/>
    <w:rsid w:val="5E7F13F4"/>
    <w:rsid w:val="5F7D3333"/>
    <w:rsid w:val="61385890"/>
    <w:rsid w:val="6504510C"/>
    <w:rsid w:val="67EA73D7"/>
    <w:rsid w:val="687436E1"/>
    <w:rsid w:val="6DA45C50"/>
    <w:rsid w:val="6E5D4C17"/>
    <w:rsid w:val="6E9A7825"/>
    <w:rsid w:val="6EBA2AA9"/>
    <w:rsid w:val="6F670F9B"/>
    <w:rsid w:val="70F16B99"/>
    <w:rsid w:val="733C6A14"/>
    <w:rsid w:val="737450E0"/>
    <w:rsid w:val="74054476"/>
    <w:rsid w:val="740808D0"/>
    <w:rsid w:val="742F38C4"/>
    <w:rsid w:val="74AB66DC"/>
    <w:rsid w:val="74C4154C"/>
    <w:rsid w:val="75956FFF"/>
    <w:rsid w:val="76E558CA"/>
    <w:rsid w:val="77AA2D01"/>
    <w:rsid w:val="77FA7033"/>
    <w:rsid w:val="7BA8560B"/>
    <w:rsid w:val="7C4A39BD"/>
    <w:rsid w:val="7CDE1DBD"/>
    <w:rsid w:val="7D943A85"/>
    <w:rsid w:val="7DB0448C"/>
    <w:rsid w:val="7E5F9AA4"/>
    <w:rsid w:val="7EC86A15"/>
    <w:rsid w:val="8FFC8888"/>
    <w:rsid w:val="A7F73C99"/>
    <w:rsid w:val="BA7B23C6"/>
    <w:rsid w:val="BFFE3BF4"/>
    <w:rsid w:val="DD6FEA1A"/>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toc 3"/>
    <w:basedOn w:val="1"/>
    <w:next w:val="1"/>
    <w:unhideWhenUsed/>
    <w:qFormat/>
    <w:uiPriority w:val="39"/>
    <w:pPr>
      <w:ind w:left="840" w:leftChars="400"/>
    </w:pPr>
    <w:rPr>
      <w:rFonts w:ascii="仿宋_GB2312" w:hAnsi="仿宋_GB2312" w:eastAsia="仿宋_GB2312" w:cs="Times New Roman"/>
      <w:sz w:val="32"/>
      <w:szCs w:val="32"/>
    </w:r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5"/>
    <w:qFormat/>
    <w:uiPriority w:val="0"/>
    <w:rPr>
      <w:b/>
      <w:bCs/>
    </w:rPr>
  </w:style>
  <w:style w:type="character" w:styleId="10">
    <w:name w:val="page number"/>
    <w:qFormat/>
    <w:uiPriority w:val="0"/>
  </w:style>
  <w:style w:type="character" w:styleId="11">
    <w:name w:val="annotation reference"/>
    <w:qFormat/>
    <w:uiPriority w:val="0"/>
    <w:rPr>
      <w:sz w:val="21"/>
      <w:szCs w:val="21"/>
    </w:rPr>
  </w:style>
  <w:style w:type="character" w:customStyle="1" w:styleId="12">
    <w:name w:val="批注文字 Char"/>
    <w:link w:val="2"/>
    <w:qFormat/>
    <w:uiPriority w:val="0"/>
    <w:rPr>
      <w:kern w:val="2"/>
      <w:sz w:val="21"/>
      <w:szCs w:val="24"/>
    </w:rPr>
  </w:style>
  <w:style w:type="character" w:customStyle="1" w:styleId="13">
    <w:name w:val="批注框文本 Char"/>
    <w:link w:val="4"/>
    <w:qFormat/>
    <w:uiPriority w:val="0"/>
    <w:rPr>
      <w:kern w:val="2"/>
      <w:sz w:val="18"/>
      <w:szCs w:val="18"/>
    </w:rPr>
  </w:style>
  <w:style w:type="character" w:customStyle="1" w:styleId="14">
    <w:name w:val="页眉 Char"/>
    <w:link w:val="6"/>
    <w:qFormat/>
    <w:uiPriority w:val="0"/>
    <w:rPr>
      <w:kern w:val="2"/>
      <w:sz w:val="18"/>
      <w:szCs w:val="18"/>
    </w:rPr>
  </w:style>
  <w:style w:type="character" w:customStyle="1" w:styleId="15">
    <w:name w:val="批注主题 Char"/>
    <w:link w:val="7"/>
    <w:qFormat/>
    <w:uiPriority w:val="0"/>
    <w:rPr>
      <w:b/>
      <w:bCs/>
      <w:kern w:val="2"/>
      <w:sz w:val="21"/>
      <w:szCs w:val="24"/>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customStyle="1" w:styleId="17">
    <w:name w:val="WPSOffice手动目录 2"/>
    <w:qFormat/>
    <w:uiPriority w:val="0"/>
    <w:pPr>
      <w:ind w:leftChars="200"/>
    </w:pPr>
    <w:rPr>
      <w:rFonts w:ascii="Times New Roman" w:hAnsi="Times New Roman" w:eastAsia="宋体" w:cs="Times New Roman"/>
      <w:lang w:val="en-US" w:eastAsia="zh-CN" w:bidi="ar-SA"/>
    </w:rPr>
  </w:style>
  <w:style w:type="paragraph" w:customStyle="1" w:styleId="18">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7132</Words>
  <Characters>10463</Characters>
  <Lines>67</Lines>
  <Paragraphs>18</Paragraphs>
  <TotalTime>6</TotalTime>
  <ScaleCrop>false</ScaleCrop>
  <LinksUpToDate>false</LinksUpToDate>
  <CharactersWithSpaces>10549</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2024-07-24T11:26:00Z</dcterms:created>
  <dc:creator>uos</dc:creator>
  <cp:lastModifiedBy>user</cp:lastModifiedBy>
  <cp:lastPrinted>2023-08-03T08:58:00Z</cp:lastPrinted>
  <dcterms:modified xsi:type="dcterms:W3CDTF">2025-10-24T19:26:56Z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62BEC4820EE04D218B436F3F82916A05_13</vt:lpwstr>
  </property>
  <property fmtid="{D5CDD505-2E9C-101B-9397-08002B2CF9AE}" pid="4" name="KSOTemplateDocerSaveRecord">
    <vt:lpwstr>eyJoZGlkIjoiN2NiYWE5YzFjOWM3NDdjZmVjNDZlMTM3NTczNmE0MTMifQ==</vt:lpwstr>
  </property>
</Properties>
</file>