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8" w:lineRule="exact"/>
        <w:jc w:val="center"/>
        <w:rPr>
          <w:rFonts w:hint="eastAsia" w:asciiTheme="majorEastAsia" w:hAnsiTheme="majorEastAsia" w:eastAsiaTheme="majorEastAsia" w:cstheme="majorEastAsia"/>
          <w:b/>
          <w:bCs/>
          <w:sz w:val="44"/>
          <w:szCs w:val="44"/>
        </w:rPr>
      </w:pPr>
      <w:bookmarkStart w:id="0" w:name="_Toc15781"/>
      <w:r>
        <w:rPr>
          <w:rFonts w:hint="eastAsia" w:asciiTheme="majorEastAsia" w:hAnsiTheme="majorEastAsia" w:eastAsiaTheme="majorEastAsia" w:cstheme="majorEastAsia"/>
          <w:b/>
          <w:bCs/>
          <w:sz w:val="44"/>
          <w:szCs w:val="44"/>
        </w:rPr>
        <w:t>墨脱县人力资源和社会保障局2024年度部门决算公开报告</w:t>
      </w:r>
    </w:p>
    <w:sdt>
      <w:sdtPr>
        <w:rPr>
          <w:rFonts w:ascii="宋体" w:hAnsi="宋体" w:eastAsia="宋体" w:cs="Times New Roman"/>
          <w:kern w:val="2"/>
          <w:sz w:val="21"/>
          <w:szCs w:val="24"/>
          <w:lang w:val="en-US" w:eastAsia="zh-CN" w:bidi="ar-SA"/>
        </w:rPr>
        <w:id w:val="147460169"/>
        <w15:color w:val="DBDBDB"/>
        <w:docPartObj>
          <w:docPartGallery w:val="Table of Contents"/>
          <w:docPartUnique/>
        </w:docPartObj>
      </w:sdtPr>
      <w:sdtEndPr>
        <w:rPr>
          <w:rFonts w:ascii="宋体" w:hAnsi="宋体" w:eastAsia="宋体" w:cs="Times New Roman"/>
          <w:b/>
          <w:kern w:val="2"/>
          <w:sz w:val="28"/>
          <w:szCs w:val="28"/>
          <w:lang w:val="en-US" w:eastAsia="zh-CN" w:bidi="ar-SA"/>
        </w:rPr>
      </w:sdtEndPr>
      <w:sdtContent>
        <w:p>
          <w:pPr>
            <w:spacing w:before="0" w:beforeLines="0" w:after="0" w:afterLines="0" w:line="240" w:lineRule="auto"/>
            <w:ind w:left="0" w:leftChars="0" w:right="0" w:rightChars="0" w:firstLine="0" w:firstLineChars="0"/>
            <w:jc w:val="center"/>
            <w:rPr>
              <w:sz w:val="28"/>
              <w:szCs w:val="28"/>
            </w:rPr>
          </w:pPr>
          <w:r>
            <w:rPr>
              <w:rFonts w:hint="eastAsia" w:ascii="黑体" w:hAnsi="黑体" w:eastAsia="黑体" w:cs="黑体"/>
              <w:sz w:val="36"/>
              <w:szCs w:val="36"/>
            </w:rPr>
            <w:t>目</w:t>
          </w:r>
          <w:r>
            <w:rPr>
              <w:rFonts w:hint="eastAsia" w:ascii="黑体" w:hAnsi="黑体" w:eastAsia="黑体" w:cs="黑体"/>
              <w:sz w:val="36"/>
              <w:szCs w:val="36"/>
              <w:lang w:val="en-US" w:eastAsia="zh-CN"/>
            </w:rPr>
            <w:t xml:space="preserve">  </w:t>
          </w:r>
          <w:r>
            <w:rPr>
              <w:rFonts w:hint="eastAsia" w:ascii="黑体" w:hAnsi="黑体" w:eastAsia="黑体" w:cs="黑体"/>
              <w:sz w:val="36"/>
              <w:szCs w:val="36"/>
            </w:rPr>
            <w:t>录</w:t>
          </w:r>
          <w:r>
            <w:rPr>
              <w:sz w:val="28"/>
              <w:szCs w:val="28"/>
            </w:rPr>
            <w:fldChar w:fldCharType="begin"/>
          </w:r>
          <w:r>
            <w:rPr>
              <w:sz w:val="28"/>
              <w:szCs w:val="28"/>
            </w:rPr>
            <w:instrText xml:space="preserve">TOC \o "1-2" \h \u </w:instrText>
          </w:r>
          <w:r>
            <w:rPr>
              <w:sz w:val="28"/>
              <w:szCs w:val="28"/>
            </w:rPr>
            <w:fldChar w:fldCharType="separate"/>
          </w:r>
        </w:p>
        <w:p>
          <w:pPr>
            <w:pStyle w:val="6"/>
            <w:tabs>
              <w:tab w:val="right" w:leader="dot" w:pos="8845"/>
            </w:tabs>
            <w:rPr>
              <w:sz w:val="28"/>
              <w:szCs w:val="28"/>
            </w:rPr>
          </w:pPr>
          <w:r>
            <w:rPr>
              <w:sz w:val="28"/>
              <w:szCs w:val="28"/>
            </w:rPr>
            <w:fldChar w:fldCharType="begin"/>
          </w:r>
          <w:r>
            <w:rPr>
              <w:sz w:val="28"/>
              <w:szCs w:val="28"/>
            </w:rPr>
            <w:instrText xml:space="preserve"> HYPERLINK \l _Toc26097 </w:instrText>
          </w:r>
          <w:r>
            <w:rPr>
              <w:sz w:val="28"/>
              <w:szCs w:val="28"/>
            </w:rPr>
            <w:fldChar w:fldCharType="separate"/>
          </w:r>
          <w:r>
            <w:rPr>
              <w:rFonts w:hint="eastAsia" w:ascii="黑体" w:hAnsi="黑体" w:eastAsia="黑体" w:cs="黑体"/>
              <w:sz w:val="28"/>
              <w:szCs w:val="28"/>
            </w:rPr>
            <w:t xml:space="preserve">第一部分 </w:t>
          </w:r>
          <w:r>
            <w:rPr>
              <w:rFonts w:hint="eastAsia" w:ascii="黑体" w:hAnsi="黑体" w:eastAsia="黑体" w:cs="黑体"/>
              <w:sz w:val="28"/>
              <w:szCs w:val="28"/>
              <w:lang w:val="en-US" w:eastAsia="zh-CN"/>
            </w:rPr>
            <w:t>基本情况</w:t>
          </w:r>
          <w:r>
            <w:rPr>
              <w:sz w:val="28"/>
              <w:szCs w:val="28"/>
            </w:rPr>
            <w:tab/>
          </w:r>
          <w:r>
            <w:rPr>
              <w:sz w:val="28"/>
              <w:szCs w:val="28"/>
            </w:rPr>
            <w:fldChar w:fldCharType="begin"/>
          </w:r>
          <w:r>
            <w:rPr>
              <w:sz w:val="28"/>
              <w:szCs w:val="28"/>
            </w:rPr>
            <w:instrText xml:space="preserve"> PAGEREF _Toc26097 \h </w:instrText>
          </w:r>
          <w:r>
            <w:rPr>
              <w:sz w:val="28"/>
              <w:szCs w:val="28"/>
            </w:rPr>
            <w:fldChar w:fldCharType="separate"/>
          </w:r>
          <w:r>
            <w:rPr>
              <w:sz w:val="28"/>
              <w:szCs w:val="28"/>
            </w:rPr>
            <w:t>2</w:t>
          </w:r>
          <w:r>
            <w:rPr>
              <w:sz w:val="28"/>
              <w:szCs w:val="28"/>
            </w:rPr>
            <w:fldChar w:fldCharType="end"/>
          </w:r>
          <w:r>
            <w:rPr>
              <w:sz w:val="28"/>
              <w:szCs w:val="28"/>
            </w:rPr>
            <w:fldChar w:fldCharType="end"/>
          </w:r>
        </w:p>
        <w:p>
          <w:pPr>
            <w:pStyle w:val="7"/>
            <w:tabs>
              <w:tab w:val="right" w:leader="dot" w:pos="8845"/>
            </w:tabs>
            <w:rPr>
              <w:sz w:val="28"/>
              <w:szCs w:val="28"/>
            </w:rPr>
          </w:pPr>
          <w:r>
            <w:rPr>
              <w:sz w:val="28"/>
              <w:szCs w:val="28"/>
            </w:rPr>
            <w:fldChar w:fldCharType="begin"/>
          </w:r>
          <w:r>
            <w:rPr>
              <w:sz w:val="28"/>
              <w:szCs w:val="28"/>
            </w:rPr>
            <w:instrText xml:space="preserve"> HYPERLINK \l _Toc24547 </w:instrText>
          </w:r>
          <w:r>
            <w:rPr>
              <w:sz w:val="28"/>
              <w:szCs w:val="28"/>
            </w:rPr>
            <w:fldChar w:fldCharType="separate"/>
          </w:r>
          <w:r>
            <w:rPr>
              <w:rFonts w:hint="eastAsia" w:ascii="楷体_GB2312" w:hAnsi="楷体_GB2312" w:eastAsia="楷体_GB2312" w:cs="楷体_GB2312"/>
              <w:sz w:val="28"/>
              <w:szCs w:val="28"/>
            </w:rPr>
            <w:t>一、部门</w:t>
          </w:r>
          <w:r>
            <w:rPr>
              <w:rFonts w:hint="eastAsia" w:ascii="楷体_GB2312" w:hAnsi="楷体_GB2312" w:eastAsia="楷体_GB2312" w:cs="楷体_GB2312"/>
              <w:sz w:val="28"/>
              <w:szCs w:val="28"/>
              <w:lang w:eastAsia="zh-CN"/>
            </w:rPr>
            <w:t>（</w:t>
          </w:r>
          <w:r>
            <w:rPr>
              <w:rFonts w:hint="eastAsia" w:ascii="楷体_GB2312" w:hAnsi="楷体_GB2312" w:eastAsia="楷体_GB2312" w:cs="楷体_GB2312"/>
              <w:sz w:val="28"/>
              <w:szCs w:val="28"/>
              <w:lang w:val="en-US" w:eastAsia="zh-CN"/>
            </w:rPr>
            <w:t>单位）职责</w:t>
          </w:r>
          <w:r>
            <w:rPr>
              <w:sz w:val="28"/>
              <w:szCs w:val="28"/>
            </w:rPr>
            <w:tab/>
          </w:r>
          <w:r>
            <w:rPr>
              <w:sz w:val="28"/>
              <w:szCs w:val="28"/>
            </w:rPr>
            <w:fldChar w:fldCharType="begin"/>
          </w:r>
          <w:r>
            <w:rPr>
              <w:sz w:val="28"/>
              <w:szCs w:val="28"/>
            </w:rPr>
            <w:instrText xml:space="preserve"> PAGEREF _Toc24547 \h </w:instrText>
          </w:r>
          <w:r>
            <w:rPr>
              <w:sz w:val="28"/>
              <w:szCs w:val="28"/>
            </w:rPr>
            <w:fldChar w:fldCharType="separate"/>
          </w:r>
          <w:r>
            <w:rPr>
              <w:sz w:val="28"/>
              <w:szCs w:val="28"/>
            </w:rPr>
            <w:t>2</w:t>
          </w:r>
          <w:r>
            <w:rPr>
              <w:sz w:val="28"/>
              <w:szCs w:val="28"/>
            </w:rPr>
            <w:fldChar w:fldCharType="end"/>
          </w:r>
          <w:r>
            <w:rPr>
              <w:sz w:val="28"/>
              <w:szCs w:val="28"/>
            </w:rPr>
            <w:fldChar w:fldCharType="end"/>
          </w:r>
        </w:p>
        <w:p>
          <w:pPr>
            <w:pStyle w:val="7"/>
            <w:tabs>
              <w:tab w:val="right" w:leader="dot" w:pos="8845"/>
            </w:tabs>
            <w:rPr>
              <w:sz w:val="28"/>
              <w:szCs w:val="28"/>
            </w:rPr>
          </w:pPr>
          <w:r>
            <w:rPr>
              <w:sz w:val="28"/>
              <w:szCs w:val="28"/>
            </w:rPr>
            <w:fldChar w:fldCharType="begin"/>
          </w:r>
          <w:r>
            <w:rPr>
              <w:sz w:val="28"/>
              <w:szCs w:val="28"/>
            </w:rPr>
            <w:instrText xml:space="preserve"> HYPERLINK \l _Toc2665 </w:instrText>
          </w:r>
          <w:r>
            <w:rPr>
              <w:sz w:val="28"/>
              <w:szCs w:val="28"/>
            </w:rPr>
            <w:fldChar w:fldCharType="separate"/>
          </w:r>
          <w:r>
            <w:rPr>
              <w:rFonts w:hint="eastAsia" w:ascii="楷体_GB2312" w:hAnsi="楷体_GB2312" w:eastAsia="楷体_GB2312" w:cs="楷体_GB2312"/>
              <w:sz w:val="28"/>
              <w:szCs w:val="28"/>
            </w:rPr>
            <w:t>二、</w:t>
          </w:r>
          <w:r>
            <w:rPr>
              <w:rFonts w:hint="eastAsia" w:ascii="楷体_GB2312" w:hAnsi="楷体_GB2312" w:eastAsia="楷体_GB2312" w:cs="楷体_GB2312"/>
              <w:sz w:val="28"/>
              <w:szCs w:val="28"/>
              <w:lang w:val="en-US" w:eastAsia="zh-CN"/>
            </w:rPr>
            <w:t>机构设置</w:t>
          </w:r>
          <w:r>
            <w:rPr>
              <w:sz w:val="28"/>
              <w:szCs w:val="28"/>
            </w:rPr>
            <w:tab/>
          </w:r>
          <w:r>
            <w:rPr>
              <w:sz w:val="28"/>
              <w:szCs w:val="28"/>
            </w:rPr>
            <w:fldChar w:fldCharType="begin"/>
          </w:r>
          <w:r>
            <w:rPr>
              <w:sz w:val="28"/>
              <w:szCs w:val="28"/>
            </w:rPr>
            <w:instrText xml:space="preserve"> PAGEREF _Toc2665 \h </w:instrText>
          </w:r>
          <w:r>
            <w:rPr>
              <w:sz w:val="28"/>
              <w:szCs w:val="28"/>
            </w:rPr>
            <w:fldChar w:fldCharType="separate"/>
          </w:r>
          <w:r>
            <w:rPr>
              <w:sz w:val="28"/>
              <w:szCs w:val="28"/>
            </w:rPr>
            <w:t>4</w:t>
          </w:r>
          <w:r>
            <w:rPr>
              <w:sz w:val="28"/>
              <w:szCs w:val="28"/>
            </w:rPr>
            <w:fldChar w:fldCharType="end"/>
          </w:r>
          <w:r>
            <w:rPr>
              <w:sz w:val="28"/>
              <w:szCs w:val="28"/>
            </w:rPr>
            <w:fldChar w:fldCharType="end"/>
          </w:r>
        </w:p>
        <w:p>
          <w:pPr>
            <w:pStyle w:val="6"/>
            <w:tabs>
              <w:tab w:val="right" w:leader="dot" w:pos="8845"/>
            </w:tabs>
            <w:rPr>
              <w:sz w:val="28"/>
              <w:szCs w:val="28"/>
            </w:rPr>
          </w:pPr>
          <w:r>
            <w:rPr>
              <w:sz w:val="28"/>
              <w:szCs w:val="28"/>
            </w:rPr>
            <w:fldChar w:fldCharType="begin"/>
          </w:r>
          <w:r>
            <w:rPr>
              <w:sz w:val="28"/>
              <w:szCs w:val="28"/>
            </w:rPr>
            <w:instrText xml:space="preserve"> HYPERLINK \l _Toc27444 </w:instrText>
          </w:r>
          <w:r>
            <w:rPr>
              <w:sz w:val="28"/>
              <w:szCs w:val="28"/>
            </w:rPr>
            <w:fldChar w:fldCharType="separate"/>
          </w:r>
          <w:r>
            <w:rPr>
              <w:rFonts w:hint="eastAsia" w:ascii="黑体" w:hAnsi="黑体" w:eastAsia="黑体" w:cs="黑体"/>
              <w:sz w:val="28"/>
              <w:szCs w:val="28"/>
            </w:rPr>
            <w:t xml:space="preserve">第二部分 </w:t>
          </w:r>
          <w:r>
            <w:rPr>
              <w:rFonts w:hint="eastAsia" w:ascii="黑体" w:hAnsi="黑体" w:eastAsia="黑体" w:cs="黑体"/>
              <w:sz w:val="28"/>
              <w:szCs w:val="28"/>
              <w:lang w:val="en-US" w:eastAsia="zh-CN"/>
            </w:rPr>
            <w:t>2024年度部门决算公开表</w:t>
          </w:r>
          <w:r>
            <w:rPr>
              <w:sz w:val="28"/>
              <w:szCs w:val="28"/>
            </w:rPr>
            <w:tab/>
          </w:r>
          <w:r>
            <w:rPr>
              <w:sz w:val="28"/>
              <w:szCs w:val="28"/>
            </w:rPr>
            <w:fldChar w:fldCharType="begin"/>
          </w:r>
          <w:r>
            <w:rPr>
              <w:sz w:val="28"/>
              <w:szCs w:val="28"/>
            </w:rPr>
            <w:instrText xml:space="preserve"> PAGEREF _Toc27444 \h </w:instrText>
          </w:r>
          <w:r>
            <w:rPr>
              <w:sz w:val="28"/>
              <w:szCs w:val="28"/>
            </w:rPr>
            <w:fldChar w:fldCharType="separate"/>
          </w:r>
          <w:r>
            <w:rPr>
              <w:sz w:val="28"/>
              <w:szCs w:val="28"/>
            </w:rPr>
            <w:t>5</w:t>
          </w:r>
          <w:r>
            <w:rPr>
              <w:sz w:val="28"/>
              <w:szCs w:val="28"/>
            </w:rPr>
            <w:fldChar w:fldCharType="end"/>
          </w:r>
          <w:r>
            <w:rPr>
              <w:sz w:val="28"/>
              <w:szCs w:val="28"/>
            </w:rPr>
            <w:fldChar w:fldCharType="end"/>
          </w:r>
        </w:p>
        <w:p>
          <w:pPr>
            <w:pStyle w:val="6"/>
            <w:tabs>
              <w:tab w:val="right" w:leader="dot" w:pos="8845"/>
            </w:tabs>
            <w:rPr>
              <w:sz w:val="28"/>
              <w:szCs w:val="28"/>
            </w:rPr>
          </w:pPr>
          <w:r>
            <w:rPr>
              <w:sz w:val="28"/>
              <w:szCs w:val="28"/>
            </w:rPr>
            <w:fldChar w:fldCharType="begin"/>
          </w:r>
          <w:r>
            <w:rPr>
              <w:sz w:val="28"/>
              <w:szCs w:val="28"/>
            </w:rPr>
            <w:instrText xml:space="preserve"> HYPERLINK \l _Toc27501 </w:instrText>
          </w:r>
          <w:r>
            <w:rPr>
              <w:sz w:val="28"/>
              <w:szCs w:val="28"/>
            </w:rPr>
            <w:fldChar w:fldCharType="separate"/>
          </w:r>
          <w:r>
            <w:rPr>
              <w:rFonts w:hint="eastAsia" w:ascii="黑体" w:hAnsi="黑体" w:eastAsia="黑体" w:cs="黑体"/>
              <w:sz w:val="28"/>
              <w:szCs w:val="28"/>
            </w:rPr>
            <w:t xml:space="preserve">第三部分 </w:t>
          </w:r>
          <w:r>
            <w:rPr>
              <w:rFonts w:hint="eastAsia" w:ascii="黑体" w:hAnsi="黑体" w:eastAsia="黑体" w:cs="黑体"/>
              <w:sz w:val="28"/>
              <w:szCs w:val="28"/>
              <w:lang w:val="en-US" w:eastAsia="zh-CN"/>
            </w:rPr>
            <w:t>2024年度部门决算情况说明</w:t>
          </w:r>
          <w:r>
            <w:rPr>
              <w:sz w:val="28"/>
              <w:szCs w:val="28"/>
            </w:rPr>
            <w:tab/>
          </w:r>
          <w:r>
            <w:rPr>
              <w:sz w:val="28"/>
              <w:szCs w:val="28"/>
            </w:rPr>
            <w:fldChar w:fldCharType="begin"/>
          </w:r>
          <w:r>
            <w:rPr>
              <w:sz w:val="28"/>
              <w:szCs w:val="28"/>
            </w:rPr>
            <w:instrText xml:space="preserve"> PAGEREF _Toc27501 \h </w:instrText>
          </w:r>
          <w:r>
            <w:rPr>
              <w:sz w:val="28"/>
              <w:szCs w:val="28"/>
            </w:rPr>
            <w:fldChar w:fldCharType="separate"/>
          </w:r>
          <w:r>
            <w:rPr>
              <w:sz w:val="28"/>
              <w:szCs w:val="28"/>
            </w:rPr>
            <w:t>5</w:t>
          </w:r>
          <w:r>
            <w:rPr>
              <w:sz w:val="28"/>
              <w:szCs w:val="28"/>
            </w:rPr>
            <w:fldChar w:fldCharType="end"/>
          </w:r>
          <w:r>
            <w:rPr>
              <w:sz w:val="28"/>
              <w:szCs w:val="28"/>
            </w:rPr>
            <w:fldChar w:fldCharType="end"/>
          </w:r>
        </w:p>
        <w:p>
          <w:pPr>
            <w:pStyle w:val="7"/>
            <w:tabs>
              <w:tab w:val="right" w:leader="dot" w:pos="8845"/>
            </w:tabs>
            <w:rPr>
              <w:sz w:val="28"/>
              <w:szCs w:val="28"/>
            </w:rPr>
          </w:pPr>
          <w:r>
            <w:rPr>
              <w:sz w:val="28"/>
              <w:szCs w:val="28"/>
            </w:rPr>
            <w:fldChar w:fldCharType="begin"/>
          </w:r>
          <w:r>
            <w:rPr>
              <w:sz w:val="28"/>
              <w:szCs w:val="28"/>
            </w:rPr>
            <w:instrText xml:space="preserve"> HYPERLINK \l _Toc30696 </w:instrText>
          </w:r>
          <w:r>
            <w:rPr>
              <w:sz w:val="28"/>
              <w:szCs w:val="28"/>
            </w:rPr>
            <w:fldChar w:fldCharType="separate"/>
          </w:r>
          <w:r>
            <w:rPr>
              <w:rFonts w:hint="eastAsia" w:ascii="楷体_GB2312" w:hAnsi="楷体_GB2312" w:eastAsia="楷体_GB2312" w:cs="楷体_GB2312"/>
              <w:bCs/>
              <w:sz w:val="28"/>
              <w:szCs w:val="28"/>
              <w:lang w:eastAsia="zh-CN"/>
            </w:rPr>
            <w:t>一、</w:t>
          </w:r>
          <w:r>
            <w:rPr>
              <w:rFonts w:hint="eastAsia" w:ascii="楷体_GB2312" w:hAnsi="楷体_GB2312" w:eastAsia="楷体_GB2312" w:cs="楷体_GB2312"/>
              <w:bCs/>
              <w:sz w:val="28"/>
              <w:szCs w:val="28"/>
            </w:rPr>
            <w:t>收入支出决算总体情况说明</w:t>
          </w:r>
          <w:r>
            <w:rPr>
              <w:sz w:val="28"/>
              <w:szCs w:val="28"/>
            </w:rPr>
            <w:tab/>
          </w:r>
          <w:r>
            <w:rPr>
              <w:sz w:val="28"/>
              <w:szCs w:val="28"/>
            </w:rPr>
            <w:fldChar w:fldCharType="begin"/>
          </w:r>
          <w:r>
            <w:rPr>
              <w:sz w:val="28"/>
              <w:szCs w:val="28"/>
            </w:rPr>
            <w:instrText xml:space="preserve"> PAGEREF _Toc30696 \h </w:instrText>
          </w:r>
          <w:r>
            <w:rPr>
              <w:sz w:val="28"/>
              <w:szCs w:val="28"/>
            </w:rPr>
            <w:fldChar w:fldCharType="separate"/>
          </w:r>
          <w:r>
            <w:rPr>
              <w:sz w:val="28"/>
              <w:szCs w:val="28"/>
            </w:rPr>
            <w:t>5</w:t>
          </w:r>
          <w:r>
            <w:rPr>
              <w:sz w:val="28"/>
              <w:szCs w:val="28"/>
            </w:rPr>
            <w:fldChar w:fldCharType="end"/>
          </w:r>
          <w:r>
            <w:rPr>
              <w:sz w:val="28"/>
              <w:szCs w:val="28"/>
            </w:rPr>
            <w:fldChar w:fldCharType="end"/>
          </w:r>
        </w:p>
        <w:p>
          <w:pPr>
            <w:pStyle w:val="7"/>
            <w:tabs>
              <w:tab w:val="right" w:leader="dot" w:pos="8845"/>
            </w:tabs>
            <w:rPr>
              <w:sz w:val="28"/>
              <w:szCs w:val="28"/>
            </w:rPr>
          </w:pPr>
          <w:r>
            <w:rPr>
              <w:sz w:val="28"/>
              <w:szCs w:val="28"/>
            </w:rPr>
            <w:fldChar w:fldCharType="begin"/>
          </w:r>
          <w:r>
            <w:rPr>
              <w:sz w:val="28"/>
              <w:szCs w:val="28"/>
            </w:rPr>
            <w:instrText xml:space="preserve"> HYPERLINK \l _Toc3123 </w:instrText>
          </w:r>
          <w:r>
            <w:rPr>
              <w:sz w:val="28"/>
              <w:szCs w:val="28"/>
            </w:rPr>
            <w:fldChar w:fldCharType="separate"/>
          </w:r>
          <w:r>
            <w:rPr>
              <w:rFonts w:hint="eastAsia" w:ascii="楷体_GB2312" w:hAnsi="楷体_GB2312" w:eastAsia="楷体_GB2312" w:cs="楷体_GB2312"/>
              <w:bCs/>
              <w:sz w:val="28"/>
              <w:szCs w:val="28"/>
              <w:lang w:eastAsia="zh-CN"/>
            </w:rPr>
            <w:t>二、</w:t>
          </w:r>
          <w:r>
            <w:rPr>
              <w:rFonts w:hint="eastAsia" w:ascii="楷体_GB2312" w:hAnsi="楷体_GB2312" w:eastAsia="楷体_GB2312" w:cs="楷体_GB2312"/>
              <w:bCs/>
              <w:sz w:val="28"/>
              <w:szCs w:val="28"/>
            </w:rPr>
            <w:t>收入决算情况说明</w:t>
          </w:r>
          <w:r>
            <w:rPr>
              <w:sz w:val="28"/>
              <w:szCs w:val="28"/>
            </w:rPr>
            <w:tab/>
          </w:r>
          <w:r>
            <w:rPr>
              <w:sz w:val="28"/>
              <w:szCs w:val="28"/>
            </w:rPr>
            <w:fldChar w:fldCharType="begin"/>
          </w:r>
          <w:r>
            <w:rPr>
              <w:sz w:val="28"/>
              <w:szCs w:val="28"/>
            </w:rPr>
            <w:instrText xml:space="preserve"> PAGEREF _Toc3123 \h </w:instrText>
          </w:r>
          <w:r>
            <w:rPr>
              <w:sz w:val="28"/>
              <w:szCs w:val="28"/>
            </w:rPr>
            <w:fldChar w:fldCharType="separate"/>
          </w:r>
          <w:r>
            <w:rPr>
              <w:sz w:val="28"/>
              <w:szCs w:val="28"/>
            </w:rPr>
            <w:t>6</w:t>
          </w:r>
          <w:r>
            <w:rPr>
              <w:sz w:val="28"/>
              <w:szCs w:val="28"/>
            </w:rPr>
            <w:fldChar w:fldCharType="end"/>
          </w:r>
          <w:r>
            <w:rPr>
              <w:sz w:val="28"/>
              <w:szCs w:val="28"/>
            </w:rPr>
            <w:fldChar w:fldCharType="end"/>
          </w:r>
        </w:p>
        <w:p>
          <w:pPr>
            <w:pStyle w:val="7"/>
            <w:tabs>
              <w:tab w:val="right" w:leader="dot" w:pos="8845"/>
            </w:tabs>
            <w:rPr>
              <w:sz w:val="28"/>
              <w:szCs w:val="28"/>
            </w:rPr>
          </w:pPr>
          <w:r>
            <w:rPr>
              <w:sz w:val="28"/>
              <w:szCs w:val="28"/>
            </w:rPr>
            <w:fldChar w:fldCharType="begin"/>
          </w:r>
          <w:r>
            <w:rPr>
              <w:sz w:val="28"/>
              <w:szCs w:val="28"/>
            </w:rPr>
            <w:instrText xml:space="preserve"> HYPERLINK \l _Toc16013 </w:instrText>
          </w:r>
          <w:r>
            <w:rPr>
              <w:sz w:val="28"/>
              <w:szCs w:val="28"/>
            </w:rPr>
            <w:fldChar w:fldCharType="separate"/>
          </w:r>
          <w:r>
            <w:rPr>
              <w:rFonts w:hint="eastAsia" w:ascii="楷体_GB2312" w:hAnsi="楷体_GB2312" w:eastAsia="楷体_GB2312" w:cs="楷体_GB2312"/>
              <w:bCs/>
              <w:sz w:val="28"/>
              <w:szCs w:val="28"/>
              <w:lang w:eastAsia="zh-CN"/>
            </w:rPr>
            <w:t>三、</w:t>
          </w:r>
          <w:r>
            <w:rPr>
              <w:rFonts w:hint="eastAsia" w:ascii="楷体_GB2312" w:hAnsi="楷体_GB2312" w:eastAsia="楷体_GB2312" w:cs="楷体_GB2312"/>
              <w:bCs/>
              <w:sz w:val="28"/>
              <w:szCs w:val="28"/>
            </w:rPr>
            <w:t>支出决算情况说明</w:t>
          </w:r>
          <w:r>
            <w:rPr>
              <w:sz w:val="28"/>
              <w:szCs w:val="28"/>
            </w:rPr>
            <w:tab/>
          </w:r>
          <w:r>
            <w:rPr>
              <w:sz w:val="28"/>
              <w:szCs w:val="28"/>
            </w:rPr>
            <w:fldChar w:fldCharType="begin"/>
          </w:r>
          <w:r>
            <w:rPr>
              <w:sz w:val="28"/>
              <w:szCs w:val="28"/>
            </w:rPr>
            <w:instrText xml:space="preserve"> PAGEREF _Toc16013 \h </w:instrText>
          </w:r>
          <w:r>
            <w:rPr>
              <w:sz w:val="28"/>
              <w:szCs w:val="28"/>
            </w:rPr>
            <w:fldChar w:fldCharType="separate"/>
          </w:r>
          <w:r>
            <w:rPr>
              <w:sz w:val="28"/>
              <w:szCs w:val="28"/>
            </w:rPr>
            <w:t>6</w:t>
          </w:r>
          <w:r>
            <w:rPr>
              <w:sz w:val="28"/>
              <w:szCs w:val="28"/>
            </w:rPr>
            <w:fldChar w:fldCharType="end"/>
          </w:r>
          <w:r>
            <w:rPr>
              <w:sz w:val="28"/>
              <w:szCs w:val="28"/>
            </w:rPr>
            <w:fldChar w:fldCharType="end"/>
          </w:r>
        </w:p>
        <w:p>
          <w:pPr>
            <w:pStyle w:val="7"/>
            <w:tabs>
              <w:tab w:val="right" w:leader="dot" w:pos="8845"/>
            </w:tabs>
            <w:rPr>
              <w:sz w:val="28"/>
              <w:szCs w:val="28"/>
            </w:rPr>
          </w:pPr>
          <w:r>
            <w:rPr>
              <w:sz w:val="28"/>
              <w:szCs w:val="28"/>
            </w:rPr>
            <w:fldChar w:fldCharType="begin"/>
          </w:r>
          <w:r>
            <w:rPr>
              <w:sz w:val="28"/>
              <w:szCs w:val="28"/>
            </w:rPr>
            <w:instrText xml:space="preserve"> HYPERLINK \l _Toc17533 </w:instrText>
          </w:r>
          <w:r>
            <w:rPr>
              <w:sz w:val="28"/>
              <w:szCs w:val="28"/>
            </w:rPr>
            <w:fldChar w:fldCharType="separate"/>
          </w:r>
          <w:r>
            <w:rPr>
              <w:rFonts w:hint="eastAsia" w:ascii="楷体_GB2312" w:hAnsi="楷体_GB2312" w:eastAsia="楷体_GB2312" w:cs="楷体_GB2312"/>
              <w:bCs/>
              <w:sz w:val="28"/>
              <w:szCs w:val="28"/>
              <w:lang w:eastAsia="zh-CN"/>
            </w:rPr>
            <w:t>四、财政拨款收入支出决算总体情况说明</w:t>
          </w:r>
          <w:r>
            <w:rPr>
              <w:sz w:val="28"/>
              <w:szCs w:val="28"/>
            </w:rPr>
            <w:tab/>
          </w:r>
          <w:r>
            <w:rPr>
              <w:sz w:val="28"/>
              <w:szCs w:val="28"/>
            </w:rPr>
            <w:fldChar w:fldCharType="begin"/>
          </w:r>
          <w:r>
            <w:rPr>
              <w:sz w:val="28"/>
              <w:szCs w:val="28"/>
            </w:rPr>
            <w:instrText xml:space="preserve"> PAGEREF _Toc17533 \h </w:instrText>
          </w:r>
          <w:r>
            <w:rPr>
              <w:sz w:val="28"/>
              <w:szCs w:val="28"/>
            </w:rPr>
            <w:fldChar w:fldCharType="separate"/>
          </w:r>
          <w:r>
            <w:rPr>
              <w:sz w:val="28"/>
              <w:szCs w:val="28"/>
            </w:rPr>
            <w:t>6</w:t>
          </w:r>
          <w:r>
            <w:rPr>
              <w:sz w:val="28"/>
              <w:szCs w:val="28"/>
            </w:rPr>
            <w:fldChar w:fldCharType="end"/>
          </w:r>
          <w:r>
            <w:rPr>
              <w:sz w:val="28"/>
              <w:szCs w:val="28"/>
            </w:rPr>
            <w:fldChar w:fldCharType="end"/>
          </w:r>
        </w:p>
        <w:p>
          <w:pPr>
            <w:pStyle w:val="7"/>
            <w:tabs>
              <w:tab w:val="right" w:leader="dot" w:pos="8845"/>
            </w:tabs>
            <w:rPr>
              <w:sz w:val="28"/>
              <w:szCs w:val="28"/>
            </w:rPr>
          </w:pPr>
          <w:r>
            <w:rPr>
              <w:sz w:val="28"/>
              <w:szCs w:val="28"/>
            </w:rPr>
            <w:fldChar w:fldCharType="begin"/>
          </w:r>
          <w:r>
            <w:rPr>
              <w:sz w:val="28"/>
              <w:szCs w:val="28"/>
            </w:rPr>
            <w:instrText xml:space="preserve"> HYPERLINK \l _Toc23455 </w:instrText>
          </w:r>
          <w:r>
            <w:rPr>
              <w:sz w:val="28"/>
              <w:szCs w:val="28"/>
            </w:rPr>
            <w:fldChar w:fldCharType="separate"/>
          </w:r>
          <w:r>
            <w:rPr>
              <w:rFonts w:hint="eastAsia" w:ascii="楷体_GB2312" w:hAnsi="楷体_GB2312" w:eastAsia="楷体_GB2312" w:cs="楷体_GB2312"/>
              <w:bCs/>
              <w:sz w:val="28"/>
              <w:szCs w:val="28"/>
              <w:lang w:eastAsia="zh-CN"/>
            </w:rPr>
            <w:t>五、</w:t>
          </w:r>
          <w:r>
            <w:rPr>
              <w:rFonts w:hint="eastAsia" w:ascii="楷体_GB2312" w:hAnsi="楷体_GB2312" w:eastAsia="楷体_GB2312" w:cs="楷体_GB2312"/>
              <w:bCs/>
              <w:sz w:val="28"/>
              <w:szCs w:val="28"/>
            </w:rPr>
            <w:t>一般公共预算财政拨款支出决算情况说明</w:t>
          </w:r>
          <w:r>
            <w:rPr>
              <w:sz w:val="28"/>
              <w:szCs w:val="28"/>
            </w:rPr>
            <w:tab/>
          </w:r>
          <w:r>
            <w:rPr>
              <w:sz w:val="28"/>
              <w:szCs w:val="28"/>
            </w:rPr>
            <w:fldChar w:fldCharType="begin"/>
          </w:r>
          <w:r>
            <w:rPr>
              <w:sz w:val="28"/>
              <w:szCs w:val="28"/>
            </w:rPr>
            <w:instrText xml:space="preserve"> PAGEREF _Toc23455 \h </w:instrText>
          </w:r>
          <w:r>
            <w:rPr>
              <w:sz w:val="28"/>
              <w:szCs w:val="28"/>
            </w:rPr>
            <w:fldChar w:fldCharType="separate"/>
          </w:r>
          <w:r>
            <w:rPr>
              <w:sz w:val="28"/>
              <w:szCs w:val="28"/>
            </w:rPr>
            <w:t>7</w:t>
          </w:r>
          <w:r>
            <w:rPr>
              <w:sz w:val="28"/>
              <w:szCs w:val="28"/>
            </w:rPr>
            <w:fldChar w:fldCharType="end"/>
          </w:r>
          <w:r>
            <w:rPr>
              <w:sz w:val="28"/>
              <w:szCs w:val="28"/>
            </w:rPr>
            <w:fldChar w:fldCharType="end"/>
          </w:r>
        </w:p>
        <w:p>
          <w:pPr>
            <w:pStyle w:val="7"/>
            <w:tabs>
              <w:tab w:val="right" w:leader="dot" w:pos="8845"/>
            </w:tabs>
            <w:rPr>
              <w:sz w:val="28"/>
              <w:szCs w:val="28"/>
            </w:rPr>
          </w:pPr>
          <w:r>
            <w:rPr>
              <w:sz w:val="28"/>
              <w:szCs w:val="28"/>
            </w:rPr>
            <w:fldChar w:fldCharType="begin"/>
          </w:r>
          <w:r>
            <w:rPr>
              <w:sz w:val="28"/>
              <w:szCs w:val="28"/>
            </w:rPr>
            <w:instrText xml:space="preserve"> HYPERLINK \l _Toc23443 </w:instrText>
          </w:r>
          <w:r>
            <w:rPr>
              <w:sz w:val="28"/>
              <w:szCs w:val="28"/>
            </w:rPr>
            <w:fldChar w:fldCharType="separate"/>
          </w:r>
          <w:r>
            <w:rPr>
              <w:rFonts w:hint="eastAsia" w:ascii="楷体_GB2312" w:hAnsi="楷体_GB2312" w:eastAsia="楷体_GB2312" w:cs="楷体_GB2312"/>
              <w:bCs/>
              <w:sz w:val="28"/>
              <w:szCs w:val="28"/>
              <w:lang w:eastAsia="zh-CN"/>
            </w:rPr>
            <w:t>六、</w:t>
          </w:r>
          <w:r>
            <w:rPr>
              <w:rFonts w:hint="eastAsia" w:ascii="楷体_GB2312" w:hAnsi="楷体_GB2312" w:eastAsia="楷体_GB2312" w:cs="楷体_GB2312"/>
              <w:bCs/>
              <w:sz w:val="28"/>
              <w:szCs w:val="28"/>
            </w:rPr>
            <w:t>一般公共预算财政拨款基本支出决算情况说明</w:t>
          </w:r>
          <w:r>
            <w:rPr>
              <w:sz w:val="28"/>
              <w:szCs w:val="28"/>
            </w:rPr>
            <w:tab/>
          </w:r>
          <w:r>
            <w:rPr>
              <w:sz w:val="28"/>
              <w:szCs w:val="28"/>
            </w:rPr>
            <w:fldChar w:fldCharType="begin"/>
          </w:r>
          <w:r>
            <w:rPr>
              <w:sz w:val="28"/>
              <w:szCs w:val="28"/>
            </w:rPr>
            <w:instrText xml:space="preserve"> PAGEREF _Toc23443 \h </w:instrText>
          </w:r>
          <w:r>
            <w:rPr>
              <w:sz w:val="28"/>
              <w:szCs w:val="28"/>
            </w:rPr>
            <w:fldChar w:fldCharType="separate"/>
          </w:r>
          <w:r>
            <w:rPr>
              <w:sz w:val="28"/>
              <w:szCs w:val="28"/>
            </w:rPr>
            <w:t>9</w:t>
          </w:r>
          <w:r>
            <w:rPr>
              <w:sz w:val="28"/>
              <w:szCs w:val="28"/>
            </w:rPr>
            <w:fldChar w:fldCharType="end"/>
          </w:r>
          <w:r>
            <w:rPr>
              <w:sz w:val="28"/>
              <w:szCs w:val="28"/>
            </w:rPr>
            <w:fldChar w:fldCharType="end"/>
          </w:r>
        </w:p>
        <w:p>
          <w:pPr>
            <w:pStyle w:val="7"/>
            <w:tabs>
              <w:tab w:val="right" w:leader="dot" w:pos="8845"/>
            </w:tabs>
            <w:rPr>
              <w:sz w:val="28"/>
              <w:szCs w:val="28"/>
            </w:rPr>
          </w:pPr>
          <w:r>
            <w:rPr>
              <w:sz w:val="28"/>
              <w:szCs w:val="28"/>
            </w:rPr>
            <w:fldChar w:fldCharType="begin"/>
          </w:r>
          <w:r>
            <w:rPr>
              <w:sz w:val="28"/>
              <w:szCs w:val="28"/>
            </w:rPr>
            <w:instrText xml:space="preserve"> HYPERLINK \l _Toc2845 </w:instrText>
          </w:r>
          <w:r>
            <w:rPr>
              <w:sz w:val="28"/>
              <w:szCs w:val="28"/>
            </w:rPr>
            <w:fldChar w:fldCharType="separate"/>
          </w:r>
          <w:r>
            <w:rPr>
              <w:rFonts w:hint="eastAsia" w:ascii="楷体_GB2312" w:hAnsi="楷体_GB2312" w:eastAsia="楷体_GB2312" w:cs="楷体_GB2312"/>
              <w:bCs/>
              <w:sz w:val="28"/>
              <w:szCs w:val="28"/>
              <w:lang w:eastAsia="zh-CN"/>
            </w:rPr>
            <w:t>七、政府性基金预算财政拨款支出决算</w:t>
          </w:r>
          <w:r>
            <w:rPr>
              <w:rFonts w:hint="eastAsia" w:ascii="楷体_GB2312" w:hAnsi="楷体_GB2312" w:eastAsia="楷体_GB2312" w:cs="楷体_GB2312"/>
              <w:bCs/>
              <w:sz w:val="28"/>
              <w:szCs w:val="28"/>
              <w:lang w:val="en-US" w:eastAsia="zh-CN"/>
            </w:rPr>
            <w:t>情况说明</w:t>
          </w:r>
          <w:r>
            <w:rPr>
              <w:sz w:val="28"/>
              <w:szCs w:val="28"/>
            </w:rPr>
            <w:tab/>
          </w:r>
          <w:r>
            <w:rPr>
              <w:sz w:val="28"/>
              <w:szCs w:val="28"/>
            </w:rPr>
            <w:fldChar w:fldCharType="begin"/>
          </w:r>
          <w:r>
            <w:rPr>
              <w:sz w:val="28"/>
              <w:szCs w:val="28"/>
            </w:rPr>
            <w:instrText xml:space="preserve"> PAGEREF _Toc2845 \h </w:instrText>
          </w:r>
          <w:r>
            <w:rPr>
              <w:sz w:val="28"/>
              <w:szCs w:val="28"/>
            </w:rPr>
            <w:fldChar w:fldCharType="separate"/>
          </w:r>
          <w:r>
            <w:rPr>
              <w:sz w:val="28"/>
              <w:szCs w:val="28"/>
            </w:rPr>
            <w:t>9</w:t>
          </w:r>
          <w:r>
            <w:rPr>
              <w:sz w:val="28"/>
              <w:szCs w:val="28"/>
            </w:rPr>
            <w:fldChar w:fldCharType="end"/>
          </w:r>
          <w:r>
            <w:rPr>
              <w:sz w:val="28"/>
              <w:szCs w:val="28"/>
            </w:rPr>
            <w:fldChar w:fldCharType="end"/>
          </w:r>
        </w:p>
        <w:p>
          <w:pPr>
            <w:pStyle w:val="7"/>
            <w:tabs>
              <w:tab w:val="right" w:leader="dot" w:pos="8845"/>
            </w:tabs>
            <w:rPr>
              <w:sz w:val="28"/>
              <w:szCs w:val="28"/>
            </w:rPr>
          </w:pPr>
          <w:r>
            <w:rPr>
              <w:sz w:val="28"/>
              <w:szCs w:val="28"/>
            </w:rPr>
            <w:fldChar w:fldCharType="begin"/>
          </w:r>
          <w:r>
            <w:rPr>
              <w:sz w:val="28"/>
              <w:szCs w:val="28"/>
            </w:rPr>
            <w:instrText xml:space="preserve"> HYPERLINK \l _Toc12287 </w:instrText>
          </w:r>
          <w:r>
            <w:rPr>
              <w:sz w:val="28"/>
              <w:szCs w:val="28"/>
            </w:rPr>
            <w:fldChar w:fldCharType="separate"/>
          </w:r>
          <w:r>
            <w:rPr>
              <w:rFonts w:hint="eastAsia" w:ascii="楷体_GB2312" w:hAnsi="楷体_GB2312" w:eastAsia="楷体_GB2312" w:cs="楷体_GB2312"/>
              <w:bCs/>
              <w:kern w:val="2"/>
              <w:sz w:val="28"/>
              <w:szCs w:val="28"/>
              <w:lang w:val="en-US" w:eastAsia="zh-CN" w:bidi="ar-SA"/>
            </w:rPr>
            <w:t xml:space="preserve">八、 </w:t>
          </w:r>
          <w:r>
            <w:rPr>
              <w:rFonts w:hint="eastAsia" w:ascii="楷体_GB2312" w:hAnsi="楷体_GB2312" w:eastAsia="楷体_GB2312" w:cs="楷体_GB2312"/>
              <w:bCs/>
              <w:sz w:val="28"/>
              <w:szCs w:val="28"/>
              <w:lang w:eastAsia="zh-CN"/>
            </w:rPr>
            <w:t>国有资本经营预算财政拨款支出决</w:t>
          </w:r>
          <w:r>
            <w:rPr>
              <w:rFonts w:hint="eastAsia" w:ascii="楷体_GB2312" w:hAnsi="楷体_GB2312" w:eastAsia="楷体_GB2312" w:cs="楷体_GB2312"/>
              <w:bCs/>
              <w:sz w:val="28"/>
              <w:szCs w:val="28"/>
              <w:lang w:val="en-US" w:eastAsia="zh-CN"/>
            </w:rPr>
            <w:t>算情况说明</w:t>
          </w:r>
          <w:r>
            <w:rPr>
              <w:sz w:val="28"/>
              <w:szCs w:val="28"/>
            </w:rPr>
            <w:tab/>
          </w:r>
          <w:r>
            <w:rPr>
              <w:sz w:val="28"/>
              <w:szCs w:val="28"/>
            </w:rPr>
            <w:fldChar w:fldCharType="begin"/>
          </w:r>
          <w:r>
            <w:rPr>
              <w:sz w:val="28"/>
              <w:szCs w:val="28"/>
            </w:rPr>
            <w:instrText xml:space="preserve"> PAGEREF _Toc12287 \h </w:instrText>
          </w:r>
          <w:r>
            <w:rPr>
              <w:sz w:val="28"/>
              <w:szCs w:val="28"/>
            </w:rPr>
            <w:fldChar w:fldCharType="separate"/>
          </w:r>
          <w:r>
            <w:rPr>
              <w:sz w:val="28"/>
              <w:szCs w:val="28"/>
            </w:rPr>
            <w:t>9</w:t>
          </w:r>
          <w:r>
            <w:rPr>
              <w:sz w:val="28"/>
              <w:szCs w:val="28"/>
            </w:rPr>
            <w:fldChar w:fldCharType="end"/>
          </w:r>
          <w:r>
            <w:rPr>
              <w:sz w:val="28"/>
              <w:szCs w:val="28"/>
            </w:rPr>
            <w:fldChar w:fldCharType="end"/>
          </w:r>
        </w:p>
        <w:p>
          <w:pPr>
            <w:pStyle w:val="7"/>
            <w:tabs>
              <w:tab w:val="right" w:leader="dot" w:pos="8845"/>
            </w:tabs>
            <w:rPr>
              <w:sz w:val="28"/>
              <w:szCs w:val="28"/>
            </w:rPr>
          </w:pPr>
          <w:r>
            <w:rPr>
              <w:sz w:val="28"/>
              <w:szCs w:val="28"/>
            </w:rPr>
            <w:fldChar w:fldCharType="begin"/>
          </w:r>
          <w:r>
            <w:rPr>
              <w:sz w:val="28"/>
              <w:szCs w:val="28"/>
            </w:rPr>
            <w:instrText xml:space="preserve"> HYPERLINK \l _Toc8643 </w:instrText>
          </w:r>
          <w:r>
            <w:rPr>
              <w:sz w:val="28"/>
              <w:szCs w:val="28"/>
            </w:rPr>
            <w:fldChar w:fldCharType="separate"/>
          </w:r>
          <w:r>
            <w:rPr>
              <w:rFonts w:hint="eastAsia" w:ascii="楷体_GB2312" w:hAnsi="楷体_GB2312" w:eastAsia="楷体_GB2312" w:cs="楷体_GB2312"/>
              <w:bCs/>
              <w:sz w:val="28"/>
              <w:szCs w:val="28"/>
              <w:lang w:val="en-US" w:eastAsia="zh-CN"/>
            </w:rPr>
            <w:t>九、 财政拨款“三公”经费支出决算情况说明</w:t>
          </w:r>
          <w:r>
            <w:rPr>
              <w:sz w:val="28"/>
              <w:szCs w:val="28"/>
            </w:rPr>
            <w:tab/>
          </w:r>
          <w:r>
            <w:rPr>
              <w:sz w:val="28"/>
              <w:szCs w:val="28"/>
            </w:rPr>
            <w:fldChar w:fldCharType="begin"/>
          </w:r>
          <w:r>
            <w:rPr>
              <w:sz w:val="28"/>
              <w:szCs w:val="28"/>
            </w:rPr>
            <w:instrText xml:space="preserve"> PAGEREF _Toc8643 \h </w:instrText>
          </w:r>
          <w:r>
            <w:rPr>
              <w:sz w:val="28"/>
              <w:szCs w:val="28"/>
            </w:rPr>
            <w:fldChar w:fldCharType="separate"/>
          </w:r>
          <w:r>
            <w:rPr>
              <w:sz w:val="28"/>
              <w:szCs w:val="28"/>
            </w:rPr>
            <w:t>9</w:t>
          </w:r>
          <w:r>
            <w:rPr>
              <w:sz w:val="28"/>
              <w:szCs w:val="28"/>
            </w:rPr>
            <w:fldChar w:fldCharType="end"/>
          </w:r>
          <w:r>
            <w:rPr>
              <w:sz w:val="28"/>
              <w:szCs w:val="28"/>
            </w:rPr>
            <w:fldChar w:fldCharType="end"/>
          </w:r>
        </w:p>
        <w:p>
          <w:pPr>
            <w:pStyle w:val="7"/>
            <w:tabs>
              <w:tab w:val="right" w:leader="dot" w:pos="8845"/>
            </w:tabs>
            <w:rPr>
              <w:sz w:val="28"/>
              <w:szCs w:val="28"/>
            </w:rPr>
          </w:pPr>
          <w:r>
            <w:rPr>
              <w:sz w:val="28"/>
              <w:szCs w:val="28"/>
            </w:rPr>
            <w:fldChar w:fldCharType="begin"/>
          </w:r>
          <w:r>
            <w:rPr>
              <w:sz w:val="28"/>
              <w:szCs w:val="28"/>
            </w:rPr>
            <w:instrText xml:space="preserve"> HYPERLINK \l _Toc31338 </w:instrText>
          </w:r>
          <w:r>
            <w:rPr>
              <w:sz w:val="28"/>
              <w:szCs w:val="28"/>
            </w:rPr>
            <w:fldChar w:fldCharType="separate"/>
          </w:r>
          <w:r>
            <w:rPr>
              <w:rFonts w:hint="eastAsia" w:ascii="楷体_GB2312" w:hAnsi="楷体_GB2312" w:eastAsia="楷体_GB2312" w:cs="楷体_GB2312"/>
              <w:bCs/>
              <w:sz w:val="28"/>
              <w:szCs w:val="28"/>
              <w:lang w:val="en-US" w:eastAsia="zh-CN"/>
            </w:rPr>
            <w:t>十、 预算绩效情况说明</w:t>
          </w:r>
          <w:r>
            <w:rPr>
              <w:sz w:val="28"/>
              <w:szCs w:val="28"/>
            </w:rPr>
            <w:tab/>
          </w:r>
          <w:r>
            <w:rPr>
              <w:sz w:val="28"/>
              <w:szCs w:val="28"/>
            </w:rPr>
            <w:fldChar w:fldCharType="begin"/>
          </w:r>
          <w:r>
            <w:rPr>
              <w:sz w:val="28"/>
              <w:szCs w:val="28"/>
            </w:rPr>
            <w:instrText xml:space="preserve"> PAGEREF _Toc31338 \h </w:instrText>
          </w:r>
          <w:r>
            <w:rPr>
              <w:sz w:val="28"/>
              <w:szCs w:val="28"/>
            </w:rPr>
            <w:fldChar w:fldCharType="separate"/>
          </w:r>
          <w:r>
            <w:rPr>
              <w:sz w:val="28"/>
              <w:szCs w:val="28"/>
            </w:rPr>
            <w:t>10</w:t>
          </w:r>
          <w:r>
            <w:rPr>
              <w:sz w:val="28"/>
              <w:szCs w:val="28"/>
            </w:rPr>
            <w:fldChar w:fldCharType="end"/>
          </w:r>
          <w:r>
            <w:rPr>
              <w:sz w:val="28"/>
              <w:szCs w:val="28"/>
            </w:rPr>
            <w:fldChar w:fldCharType="end"/>
          </w:r>
        </w:p>
        <w:p>
          <w:pPr>
            <w:pStyle w:val="7"/>
            <w:tabs>
              <w:tab w:val="right" w:leader="dot" w:pos="8845"/>
            </w:tabs>
            <w:rPr>
              <w:sz w:val="28"/>
              <w:szCs w:val="28"/>
            </w:rPr>
          </w:pPr>
          <w:r>
            <w:rPr>
              <w:sz w:val="28"/>
              <w:szCs w:val="28"/>
            </w:rPr>
            <w:fldChar w:fldCharType="begin"/>
          </w:r>
          <w:r>
            <w:rPr>
              <w:sz w:val="28"/>
              <w:szCs w:val="28"/>
            </w:rPr>
            <w:instrText xml:space="preserve"> HYPERLINK \l _Toc14608 </w:instrText>
          </w:r>
          <w:r>
            <w:rPr>
              <w:sz w:val="28"/>
              <w:szCs w:val="28"/>
            </w:rPr>
            <w:fldChar w:fldCharType="separate"/>
          </w:r>
          <w:r>
            <w:rPr>
              <w:rFonts w:hint="eastAsia" w:ascii="楷体_GB2312" w:hAnsi="楷体_GB2312" w:eastAsia="楷体_GB2312" w:cs="楷体_GB2312"/>
              <w:bCs/>
              <w:sz w:val="28"/>
              <w:szCs w:val="28"/>
              <w:lang w:val="en-US" w:eastAsia="zh-CN"/>
            </w:rPr>
            <w:t>十一、 其他重要事项情况说明</w:t>
          </w:r>
          <w:r>
            <w:rPr>
              <w:sz w:val="28"/>
              <w:szCs w:val="28"/>
            </w:rPr>
            <w:tab/>
          </w:r>
          <w:r>
            <w:rPr>
              <w:sz w:val="28"/>
              <w:szCs w:val="28"/>
            </w:rPr>
            <w:fldChar w:fldCharType="begin"/>
          </w:r>
          <w:r>
            <w:rPr>
              <w:sz w:val="28"/>
              <w:szCs w:val="28"/>
            </w:rPr>
            <w:instrText xml:space="preserve"> PAGEREF _Toc14608 \h </w:instrText>
          </w:r>
          <w:r>
            <w:rPr>
              <w:sz w:val="28"/>
              <w:szCs w:val="28"/>
            </w:rPr>
            <w:fldChar w:fldCharType="separate"/>
          </w:r>
          <w:r>
            <w:rPr>
              <w:sz w:val="28"/>
              <w:szCs w:val="28"/>
            </w:rPr>
            <w:t>11</w:t>
          </w:r>
          <w:r>
            <w:rPr>
              <w:sz w:val="28"/>
              <w:szCs w:val="28"/>
            </w:rPr>
            <w:fldChar w:fldCharType="end"/>
          </w:r>
          <w:r>
            <w:rPr>
              <w:sz w:val="28"/>
              <w:szCs w:val="28"/>
            </w:rPr>
            <w:fldChar w:fldCharType="end"/>
          </w:r>
        </w:p>
        <w:p>
          <w:pPr>
            <w:pStyle w:val="6"/>
            <w:tabs>
              <w:tab w:val="right" w:leader="dot" w:pos="8845"/>
            </w:tabs>
            <w:rPr>
              <w:sz w:val="28"/>
              <w:szCs w:val="28"/>
            </w:rPr>
          </w:pPr>
          <w:r>
            <w:rPr>
              <w:sz w:val="28"/>
              <w:szCs w:val="28"/>
            </w:rPr>
            <w:fldChar w:fldCharType="begin"/>
          </w:r>
          <w:r>
            <w:rPr>
              <w:sz w:val="28"/>
              <w:szCs w:val="28"/>
            </w:rPr>
            <w:instrText xml:space="preserve"> HYPERLINK \l _Toc27646 </w:instrText>
          </w:r>
          <w:r>
            <w:rPr>
              <w:sz w:val="28"/>
              <w:szCs w:val="28"/>
            </w:rPr>
            <w:fldChar w:fldCharType="separate"/>
          </w:r>
          <w:r>
            <w:rPr>
              <w:rFonts w:hint="eastAsia" w:ascii="黑体" w:hAnsi="黑体" w:eastAsia="黑体" w:cs="方正小标宋简体"/>
              <w:sz w:val="28"/>
              <w:szCs w:val="28"/>
            </w:rPr>
            <w:t>第四部分 名词解释</w:t>
          </w:r>
          <w:r>
            <w:rPr>
              <w:sz w:val="28"/>
              <w:szCs w:val="28"/>
            </w:rPr>
            <w:tab/>
          </w:r>
          <w:r>
            <w:rPr>
              <w:sz w:val="28"/>
              <w:szCs w:val="28"/>
            </w:rPr>
            <w:fldChar w:fldCharType="begin"/>
          </w:r>
          <w:r>
            <w:rPr>
              <w:sz w:val="28"/>
              <w:szCs w:val="28"/>
            </w:rPr>
            <w:instrText xml:space="preserve"> PAGEREF _Toc27646 \h </w:instrText>
          </w:r>
          <w:r>
            <w:rPr>
              <w:sz w:val="28"/>
              <w:szCs w:val="28"/>
            </w:rPr>
            <w:fldChar w:fldCharType="separate"/>
          </w:r>
          <w:r>
            <w:rPr>
              <w:sz w:val="28"/>
              <w:szCs w:val="28"/>
            </w:rPr>
            <w:t>12</w:t>
          </w:r>
          <w:r>
            <w:rPr>
              <w:sz w:val="28"/>
              <w:szCs w:val="28"/>
            </w:rPr>
            <w:fldChar w:fldCharType="end"/>
          </w:r>
          <w:r>
            <w:rPr>
              <w:sz w:val="28"/>
              <w:szCs w:val="28"/>
            </w:rPr>
            <w:fldChar w:fldCharType="end"/>
          </w: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outlineLvl w:val="0"/>
          </w:pPr>
          <w:r>
            <w:rPr>
              <w:sz w:val="28"/>
              <w:szCs w:val="28"/>
            </w:rPr>
            <w:fldChar w:fldCharType="end"/>
          </w:r>
          <w:bookmarkEnd w:id="0"/>
          <w:bookmarkStart w:id="1" w:name="_Toc26097"/>
        </w:p>
      </w:sdtContent>
    </w:sdt>
    <w:p>
      <w:pPr>
        <w:keepNext w:val="0"/>
        <w:keepLines w:val="0"/>
        <w:pageBreakBefore w:val="0"/>
        <w:widowControl w:val="0"/>
        <w:kinsoku/>
        <w:wordWrap/>
        <w:overflowPunct/>
        <w:topLinePunct w:val="0"/>
        <w:autoSpaceDE/>
        <w:autoSpaceDN/>
        <w:bidi w:val="0"/>
        <w:adjustRightInd/>
        <w:snapToGrid/>
        <w:spacing w:line="576" w:lineRule="exact"/>
        <w:jc w:val="center"/>
        <w:textAlignment w:val="auto"/>
        <w:outlineLvl w:val="0"/>
        <w:rPr>
          <w:rFonts w:hint="eastAsia" w:ascii="黑体" w:hAnsi="黑体" w:eastAsia="黑体" w:cs="黑体"/>
          <w:sz w:val="32"/>
          <w:szCs w:val="32"/>
          <w:lang w:val="en-US" w:eastAsia="zh-CN"/>
        </w:rPr>
      </w:pPr>
      <w:r>
        <w:rPr>
          <w:rFonts w:hint="eastAsia" w:ascii="黑体" w:hAnsi="黑体" w:eastAsia="黑体" w:cs="黑体"/>
          <w:sz w:val="32"/>
          <w:szCs w:val="32"/>
        </w:rPr>
        <w:t xml:space="preserve">第一部分 </w:t>
      </w:r>
      <w:r>
        <w:rPr>
          <w:rFonts w:hint="eastAsia" w:ascii="黑体" w:hAnsi="黑体" w:eastAsia="黑体" w:cs="黑体"/>
          <w:sz w:val="32"/>
          <w:szCs w:val="32"/>
          <w:lang w:val="en-US" w:eastAsia="zh-CN"/>
        </w:rPr>
        <w:t>基本情况</w:t>
      </w:r>
      <w:bookmarkEnd w:id="1"/>
    </w:p>
    <w:p>
      <w:pPr>
        <w:pageBreakBefore w:val="0"/>
        <w:kinsoku/>
        <w:wordWrap/>
        <w:overflowPunct/>
        <w:topLinePunct w:val="0"/>
        <w:autoSpaceDE/>
        <w:bidi w:val="0"/>
        <w:adjustRightInd/>
        <w:snapToGrid/>
        <w:spacing w:line="576" w:lineRule="exact"/>
        <w:ind w:firstLine="640" w:firstLineChars="200"/>
        <w:jc w:val="center"/>
        <w:textAlignment w:val="auto"/>
        <w:rPr>
          <w:rFonts w:hint="eastAsia" w:ascii="楷体" w:hAnsi="楷体" w:eastAsia="楷体" w:cs="楷体"/>
          <w:sz w:val="32"/>
          <w:szCs w:val="44"/>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lang w:val="en-US" w:eastAsia="zh-CN"/>
        </w:rPr>
      </w:pPr>
      <w:bookmarkStart w:id="2" w:name="_Toc24547"/>
      <w:bookmarkStart w:id="3" w:name="_Toc11537"/>
      <w:r>
        <w:rPr>
          <w:rFonts w:hint="eastAsia" w:ascii="楷体_GB2312" w:hAnsi="楷体_GB2312" w:eastAsia="楷体_GB2312" w:cs="楷体_GB2312"/>
          <w:sz w:val="32"/>
          <w:szCs w:val="32"/>
        </w:rPr>
        <w:t>一、部门</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单位）职责</w:t>
      </w:r>
      <w:bookmarkEnd w:id="2"/>
      <w:r>
        <w:rPr>
          <w:rFonts w:hint="eastAsia" w:ascii="楷体_GB2312" w:hAnsi="楷体_GB2312" w:eastAsia="楷体_GB2312" w:cs="楷体_GB2312"/>
          <w:sz w:val="32"/>
          <w:szCs w:val="32"/>
          <w:lang w:val="en-US" w:eastAsia="zh-CN"/>
        </w:rPr>
        <w:t xml:space="preserve"> </w:t>
      </w:r>
    </w:p>
    <w:p>
      <w:pPr>
        <w:pageBreakBefore w:val="0"/>
        <w:kinsoku/>
        <w:wordWrap/>
        <w:overflowPunct/>
        <w:topLinePunct w:val="0"/>
        <w:autoSpaceDE/>
        <w:bidi w:val="0"/>
        <w:adjustRightInd/>
        <w:snapToGrid/>
        <w:spacing w:line="576" w:lineRule="exact"/>
        <w:ind w:firstLine="640" w:firstLineChars="200"/>
        <w:textAlignment w:val="auto"/>
        <w:rPr>
          <w:rFonts w:hint="eastAsia" w:ascii="仿宋_GB2312" w:hAnsi="宋体" w:eastAsia="仿宋_GB2312"/>
          <w:sz w:val="32"/>
          <w:szCs w:val="32"/>
        </w:rPr>
      </w:pPr>
      <w:r>
        <w:rPr>
          <w:rFonts w:hint="eastAsia" w:ascii="仿宋_GB2312" w:hAnsi="宋体" w:eastAsia="仿宋_GB2312"/>
          <w:sz w:val="32"/>
          <w:szCs w:val="32"/>
        </w:rPr>
        <w:t>1</w:t>
      </w:r>
      <w:r>
        <w:rPr>
          <w:rFonts w:hint="eastAsia" w:ascii="仿宋_GB2312" w:hAnsi="宋体" w:eastAsia="仿宋_GB2312"/>
          <w:sz w:val="32"/>
          <w:szCs w:val="32"/>
          <w:lang w:val="en-US" w:eastAsia="zh-CN"/>
        </w:rPr>
        <w:t>.</w:t>
      </w:r>
      <w:r>
        <w:rPr>
          <w:rFonts w:hint="default" w:ascii="仿宋_GB2312" w:hAnsi="仿宋_GB2312" w:eastAsia="仿宋_GB2312" w:cs="仿宋_GB2312"/>
          <w:color w:val="000000"/>
          <w:sz w:val="32"/>
          <w:szCs w:val="32"/>
        </w:rPr>
        <w:t>贯彻落实党中央关于人力资源和社会保障工作的方针政策和自治区党委</w:t>
      </w:r>
      <w:r>
        <w:rPr>
          <w:rFonts w:hint="eastAsia" w:ascii="仿宋_GB2312" w:hAnsi="仿宋_GB2312" w:eastAsia="仿宋_GB2312" w:cs="仿宋_GB2312"/>
          <w:color w:val="000000"/>
          <w:sz w:val="32"/>
          <w:szCs w:val="32"/>
          <w:lang w:eastAsia="zh-CN"/>
        </w:rPr>
        <w:t>、</w:t>
      </w:r>
      <w:r>
        <w:rPr>
          <w:rFonts w:hint="default" w:ascii="仿宋_GB2312" w:hAnsi="仿宋_GB2312" w:eastAsia="仿宋_GB2312" w:cs="仿宋_GB2312"/>
          <w:color w:val="000000"/>
          <w:sz w:val="32"/>
          <w:szCs w:val="32"/>
        </w:rPr>
        <w:t>市委</w:t>
      </w:r>
      <w:r>
        <w:rPr>
          <w:rFonts w:hint="eastAsia" w:ascii="仿宋_GB2312" w:hAnsi="仿宋_GB2312" w:eastAsia="仿宋_GB2312" w:cs="仿宋_GB2312"/>
          <w:color w:val="000000"/>
          <w:sz w:val="32"/>
          <w:szCs w:val="32"/>
          <w:lang w:eastAsia="zh-CN"/>
        </w:rPr>
        <w:t>及县委</w:t>
      </w:r>
      <w:r>
        <w:rPr>
          <w:rFonts w:hint="default" w:ascii="仿宋_GB2312" w:hAnsi="仿宋_GB2312" w:eastAsia="仿宋_GB2312" w:cs="仿宋_GB2312"/>
          <w:color w:val="000000"/>
          <w:sz w:val="32"/>
          <w:szCs w:val="32"/>
        </w:rPr>
        <w:t>的决策部署，在履行职责过程中坚持和加强</w:t>
      </w:r>
      <w:r>
        <w:rPr>
          <w:rFonts w:hint="eastAsia" w:ascii="仿宋_GB2312" w:hAnsi="仿宋_GB2312" w:eastAsia="仿宋_GB2312" w:cs="仿宋_GB2312"/>
          <w:color w:val="000000"/>
          <w:sz w:val="32"/>
          <w:szCs w:val="32"/>
          <w:lang w:eastAsia="zh-CN"/>
        </w:rPr>
        <w:t>县</w:t>
      </w:r>
      <w:r>
        <w:rPr>
          <w:rFonts w:hint="default" w:ascii="仿宋_GB2312" w:hAnsi="仿宋_GB2312" w:eastAsia="仿宋_GB2312" w:cs="仿宋_GB2312"/>
          <w:color w:val="000000"/>
          <w:sz w:val="32"/>
          <w:szCs w:val="32"/>
        </w:rPr>
        <w:t>委对人力资源和社会保障工作的统一领导</w:t>
      </w:r>
      <w:r>
        <w:rPr>
          <w:rFonts w:hint="eastAsia" w:ascii="仿宋_GB2312" w:hAnsi="仿宋_GB2312" w:eastAsia="仿宋_GB2312" w:cs="仿宋_GB2312"/>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default" w:ascii="仿宋_GB2312" w:hAnsi="仿宋_GB2312" w:eastAsia="仿宋_GB2312" w:cs="仿宋_GB2312"/>
          <w:color w:val="000000"/>
          <w:sz w:val="32"/>
          <w:szCs w:val="32"/>
        </w:rPr>
      </w:pPr>
      <w:r>
        <w:rPr>
          <w:rFonts w:hint="eastAsia" w:ascii="仿宋_GB2312" w:hAnsi="宋体" w:eastAsia="仿宋_GB2312" w:cs="Times New Roman"/>
          <w:sz w:val="32"/>
          <w:szCs w:val="32"/>
          <w:lang w:val="en-US" w:eastAsia="zh-CN"/>
        </w:rPr>
        <w:t>2.</w:t>
      </w:r>
      <w:r>
        <w:rPr>
          <w:rFonts w:hint="default" w:ascii="仿宋_GB2312" w:hAnsi="宋体" w:eastAsia="仿宋_GB2312" w:cs="Times New Roman"/>
          <w:sz w:val="32"/>
          <w:szCs w:val="32"/>
        </w:rPr>
        <w:t>贯彻执行国家</w:t>
      </w:r>
      <w:r>
        <w:rPr>
          <w:rFonts w:hint="eastAsia" w:ascii="仿宋_GB2312" w:hAnsi="宋体" w:eastAsia="仿宋_GB2312" w:cs="Times New Roman"/>
          <w:sz w:val="32"/>
          <w:szCs w:val="32"/>
          <w:lang w:eastAsia="zh-CN"/>
        </w:rPr>
        <w:t>、自治区</w:t>
      </w:r>
      <w:r>
        <w:rPr>
          <w:rFonts w:hint="default" w:ascii="仿宋_GB2312" w:hAnsi="宋体" w:eastAsia="仿宋_GB2312" w:cs="Times New Roman"/>
          <w:sz w:val="32"/>
          <w:szCs w:val="32"/>
        </w:rPr>
        <w:t>人力资源和社会保障法律</w:t>
      </w:r>
      <w:r>
        <w:rPr>
          <w:rFonts w:hint="eastAsia" w:ascii="仿宋_GB2312" w:hAnsi="宋体" w:eastAsia="仿宋_GB2312" w:cs="Times New Roman"/>
          <w:sz w:val="32"/>
          <w:szCs w:val="32"/>
          <w:lang w:eastAsia="zh-CN"/>
        </w:rPr>
        <w:t>、</w:t>
      </w:r>
      <w:r>
        <w:rPr>
          <w:rFonts w:hint="default" w:ascii="仿宋_GB2312" w:hAnsi="宋体" w:eastAsia="仿宋_GB2312" w:cs="Times New Roman"/>
          <w:sz w:val="32"/>
          <w:szCs w:val="32"/>
        </w:rPr>
        <w:t>法规</w:t>
      </w:r>
      <w:r>
        <w:rPr>
          <w:rFonts w:hint="eastAsia" w:ascii="仿宋_GB2312" w:hAnsi="宋体" w:eastAsia="仿宋_GB2312" w:cs="Times New Roman"/>
          <w:sz w:val="32"/>
          <w:szCs w:val="32"/>
          <w:lang w:eastAsia="zh-CN"/>
        </w:rPr>
        <w:t>、规章、政策</w:t>
      </w:r>
      <w:r>
        <w:rPr>
          <w:rFonts w:hint="default" w:ascii="仿宋_GB2312" w:hAnsi="宋体" w:eastAsia="仿宋_GB2312" w:cs="Times New Roman"/>
          <w:sz w:val="32"/>
          <w:szCs w:val="32"/>
        </w:rPr>
        <w:t>，</w:t>
      </w:r>
      <w:r>
        <w:rPr>
          <w:rFonts w:hint="eastAsia" w:ascii="仿宋_GB2312" w:hAnsi="宋体" w:eastAsia="仿宋_GB2312" w:cs="Times New Roman"/>
          <w:sz w:val="32"/>
          <w:szCs w:val="32"/>
          <w:lang w:eastAsia="zh-CN"/>
        </w:rPr>
        <w:t>监督检查贯彻落实情况。</w:t>
      </w:r>
      <w:r>
        <w:rPr>
          <w:rFonts w:hint="default" w:ascii="仿宋_GB2312" w:hAnsi="宋体" w:eastAsia="仿宋_GB2312" w:cs="Times New Roman"/>
          <w:sz w:val="32"/>
          <w:szCs w:val="32"/>
        </w:rPr>
        <w:t>拟订全</w:t>
      </w:r>
      <w:r>
        <w:rPr>
          <w:rFonts w:hint="eastAsia" w:ascii="仿宋_GB2312" w:hAnsi="宋体" w:eastAsia="仿宋_GB2312" w:cs="Times New Roman"/>
          <w:sz w:val="32"/>
          <w:szCs w:val="32"/>
          <w:lang w:eastAsia="zh-CN"/>
        </w:rPr>
        <w:t>县</w:t>
      </w:r>
      <w:r>
        <w:rPr>
          <w:rFonts w:hint="default" w:ascii="仿宋_GB2312" w:hAnsi="宋体" w:eastAsia="仿宋_GB2312" w:cs="Times New Roman"/>
          <w:sz w:val="32"/>
          <w:szCs w:val="32"/>
        </w:rPr>
        <w:t>人力资源和社会保障事业发展政策、规划并组织实施和监督检查。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default"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3.</w:t>
      </w:r>
      <w:r>
        <w:rPr>
          <w:rFonts w:hint="default" w:ascii="仿宋_GB2312" w:hAnsi="仿宋_GB2312" w:eastAsia="仿宋_GB2312" w:cs="仿宋_GB2312"/>
          <w:color w:val="000000"/>
          <w:sz w:val="32"/>
          <w:szCs w:val="32"/>
        </w:rPr>
        <w:t>拟订全</w:t>
      </w:r>
      <w:r>
        <w:rPr>
          <w:rFonts w:hint="eastAsia" w:ascii="仿宋_GB2312" w:hAnsi="仿宋_GB2312" w:eastAsia="仿宋_GB2312" w:cs="仿宋_GB2312"/>
          <w:color w:val="000000"/>
          <w:sz w:val="32"/>
          <w:szCs w:val="32"/>
          <w:lang w:eastAsia="zh-CN"/>
        </w:rPr>
        <w:t>县</w:t>
      </w:r>
      <w:r>
        <w:rPr>
          <w:rFonts w:hint="default" w:ascii="仿宋_GB2312" w:hAnsi="仿宋_GB2312" w:eastAsia="仿宋_GB2312" w:cs="仿宋_GB2312"/>
          <w:color w:val="000000"/>
          <w:sz w:val="32"/>
          <w:szCs w:val="32"/>
        </w:rPr>
        <w:t>人力资源市场发展规划和人力资源服务业发展、人力资源流动政策并组织实施，促进人力资源合理流动、有效配置。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default"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4.</w:t>
      </w:r>
      <w:r>
        <w:rPr>
          <w:rFonts w:hint="default" w:ascii="仿宋_GB2312" w:hAnsi="仿宋_GB2312" w:eastAsia="仿宋_GB2312" w:cs="仿宋_GB2312"/>
          <w:color w:val="000000"/>
          <w:sz w:val="32"/>
          <w:szCs w:val="32"/>
        </w:rPr>
        <w:t>负责促进全</w:t>
      </w:r>
      <w:r>
        <w:rPr>
          <w:rFonts w:hint="eastAsia" w:ascii="仿宋_GB2312" w:hAnsi="仿宋_GB2312" w:eastAsia="仿宋_GB2312" w:cs="仿宋_GB2312"/>
          <w:color w:val="000000"/>
          <w:sz w:val="32"/>
          <w:szCs w:val="32"/>
          <w:lang w:eastAsia="zh-CN"/>
        </w:rPr>
        <w:t>县</w:t>
      </w:r>
      <w:r>
        <w:rPr>
          <w:rFonts w:hint="default" w:ascii="仿宋_GB2312" w:hAnsi="仿宋_GB2312" w:eastAsia="仿宋_GB2312" w:cs="仿宋_GB2312"/>
          <w:color w:val="000000"/>
          <w:sz w:val="32"/>
          <w:szCs w:val="32"/>
        </w:rPr>
        <w:t>就业工作，拟订统筹城乡的就业发展规划和政策并组织实施，完善公共就业创业服务体系，统筹建立面向城乡劳动者的职业技能培训制度，拟订就业援助制度，牵头拟订高校毕业生就业创业政策。</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default"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5.</w:t>
      </w:r>
      <w:r>
        <w:rPr>
          <w:rFonts w:hint="default" w:ascii="仿宋_GB2312" w:hAnsi="仿宋_GB2312" w:eastAsia="仿宋_GB2312" w:cs="仿宋_GB2312"/>
          <w:color w:val="000000"/>
          <w:sz w:val="32"/>
          <w:szCs w:val="32"/>
        </w:rPr>
        <w:t>统筹推进建立覆盖城乡的多层次社会保障体系，贯彻执行自治区养老、失业、工伤等社会保险及其补充保险政策和标准，贯彻执行自治区关于参保人员社会保险关系转移接续办法。会同有关部门拟订养老、失业、工伤等社会保险及其补充保险基金的管理和监督制度并组织实施，编制相关社会保险基金预决算草案，贯彻执行相关社会保险基金投资运营政策。会同有关部门实施全民参保计划并建立社会保险公共服务平台。贯彻执行自治区关于养老保险待遇领取人员跨省安置政策。</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default"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6.</w:t>
      </w:r>
      <w:r>
        <w:rPr>
          <w:rFonts w:hint="default" w:ascii="仿宋_GB2312" w:hAnsi="仿宋_GB2312" w:eastAsia="仿宋_GB2312" w:cs="仿宋_GB2312"/>
          <w:color w:val="000000"/>
          <w:sz w:val="32"/>
          <w:szCs w:val="32"/>
        </w:rPr>
        <w:t>负责全</w:t>
      </w:r>
      <w:r>
        <w:rPr>
          <w:rFonts w:hint="eastAsia" w:ascii="仿宋_GB2312" w:hAnsi="仿宋_GB2312" w:eastAsia="仿宋_GB2312" w:cs="仿宋_GB2312"/>
          <w:color w:val="000000"/>
          <w:sz w:val="32"/>
          <w:szCs w:val="32"/>
          <w:lang w:eastAsia="zh-CN"/>
        </w:rPr>
        <w:t>县</w:t>
      </w:r>
      <w:r>
        <w:rPr>
          <w:rFonts w:hint="default" w:ascii="仿宋_GB2312" w:hAnsi="仿宋_GB2312" w:eastAsia="仿宋_GB2312" w:cs="仿宋_GB2312"/>
          <w:color w:val="000000"/>
          <w:sz w:val="32"/>
          <w:szCs w:val="32"/>
        </w:rPr>
        <w:t>就业、失业和相关社会保险基金预测预警及信息引导，拟订应对预案，实施预防、调节和控制，保持就业形势稳定和相关社会保险基金总体收支平衡。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default"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7.</w:t>
      </w:r>
      <w:r>
        <w:rPr>
          <w:rFonts w:hint="default" w:ascii="仿宋_GB2312" w:hAnsi="仿宋_GB2312" w:eastAsia="仿宋_GB2312" w:cs="仿宋_GB2312"/>
          <w:color w:val="000000"/>
          <w:sz w:val="32"/>
          <w:szCs w:val="32"/>
        </w:rPr>
        <w:t>监督实施劳动人事争议调解仲裁制度和劳动关系政策。监督实施职工工作时间、休息休假、假期制度和消除非法使用童工政策及女工、未成年工的特殊劳动保护政策。完善劳动关系协商协调机制。组织实施劳动保障监察，协调劳动者维权工作，依法查处重大案件。指导监督各</w:t>
      </w:r>
      <w:r>
        <w:rPr>
          <w:rFonts w:hint="eastAsia" w:ascii="仿宋_GB2312" w:hAnsi="仿宋_GB2312" w:eastAsia="仿宋_GB2312" w:cs="仿宋_GB2312"/>
          <w:color w:val="000000"/>
          <w:sz w:val="32"/>
          <w:szCs w:val="32"/>
          <w:lang w:eastAsia="zh-CN"/>
        </w:rPr>
        <w:t>乡（镇）</w:t>
      </w:r>
      <w:r>
        <w:rPr>
          <w:rFonts w:hint="default" w:ascii="仿宋_GB2312" w:hAnsi="仿宋_GB2312" w:eastAsia="仿宋_GB2312" w:cs="仿宋_GB2312"/>
          <w:color w:val="000000"/>
          <w:sz w:val="32"/>
          <w:szCs w:val="32"/>
        </w:rPr>
        <w:t>劳动保障工作。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default"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8.</w:t>
      </w:r>
      <w:r>
        <w:rPr>
          <w:rFonts w:hint="default" w:ascii="仿宋_GB2312" w:hAnsi="仿宋_GB2312" w:eastAsia="仿宋_GB2312" w:cs="仿宋_GB2312"/>
          <w:color w:val="000000"/>
          <w:sz w:val="32"/>
          <w:szCs w:val="32"/>
        </w:rPr>
        <w:t>牵头推进深化职称制度改革，拟订全</w:t>
      </w:r>
      <w:r>
        <w:rPr>
          <w:rFonts w:hint="eastAsia" w:ascii="仿宋_GB2312" w:hAnsi="仿宋_GB2312" w:eastAsia="仿宋_GB2312" w:cs="仿宋_GB2312"/>
          <w:color w:val="000000"/>
          <w:sz w:val="32"/>
          <w:szCs w:val="32"/>
          <w:lang w:eastAsia="zh-CN"/>
        </w:rPr>
        <w:t>县</w:t>
      </w:r>
      <w:r>
        <w:rPr>
          <w:rFonts w:hint="default" w:ascii="仿宋_GB2312" w:hAnsi="仿宋_GB2312" w:eastAsia="仿宋_GB2312" w:cs="仿宋_GB2312"/>
          <w:color w:val="000000"/>
          <w:sz w:val="32"/>
          <w:szCs w:val="32"/>
        </w:rPr>
        <w:t>专业技术人员管理和继续教育办法并组织实施。负责专业技术人才选拔和培养工作。组织实施吸引留学人员来华（回国）工作或定居管理政策。拟订技能人才培养、评价、使用和激励制度。完善职业资格制度，健全职业技能多元化评价政策。</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default"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9.</w:t>
      </w:r>
      <w:r>
        <w:rPr>
          <w:rFonts w:hint="default" w:ascii="仿宋_GB2312" w:hAnsi="仿宋_GB2312" w:eastAsia="仿宋_GB2312" w:cs="仿宋_GB2312"/>
          <w:color w:val="000000"/>
          <w:sz w:val="32"/>
          <w:szCs w:val="32"/>
        </w:rPr>
        <w:t>会同有关部门指导全</w:t>
      </w:r>
      <w:r>
        <w:rPr>
          <w:rFonts w:hint="eastAsia" w:ascii="仿宋_GB2312" w:hAnsi="仿宋_GB2312" w:eastAsia="仿宋_GB2312" w:cs="仿宋_GB2312"/>
          <w:color w:val="000000"/>
          <w:sz w:val="32"/>
          <w:szCs w:val="32"/>
          <w:lang w:eastAsia="zh-CN"/>
        </w:rPr>
        <w:t>县</w:t>
      </w:r>
      <w:r>
        <w:rPr>
          <w:rFonts w:hint="default" w:ascii="仿宋_GB2312" w:hAnsi="仿宋_GB2312" w:eastAsia="仿宋_GB2312" w:cs="仿宋_GB2312"/>
          <w:color w:val="000000"/>
          <w:sz w:val="32"/>
          <w:szCs w:val="32"/>
        </w:rPr>
        <w:t>事业单位人事制度改革，按照管理权限拟订事业单位岗位设置、公开招聘、聘用管理等人事综合管理政策并组织实施，拟订事业单位人员和机关工勤人员管理政策并组织实施。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default"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10.</w:t>
      </w:r>
      <w:r>
        <w:rPr>
          <w:rFonts w:hint="default" w:ascii="仿宋_GB2312" w:hAnsi="仿宋_GB2312" w:eastAsia="仿宋_GB2312" w:cs="仿宋_GB2312"/>
          <w:color w:val="000000"/>
          <w:sz w:val="32"/>
          <w:szCs w:val="32"/>
        </w:rPr>
        <w:t>会同有关部门贯</w:t>
      </w:r>
      <w:r>
        <w:rPr>
          <w:rFonts w:hint="default" w:ascii="仿宋_GB2312" w:hAnsi="仿宋_GB2312" w:eastAsia="仿宋_GB2312" w:cs="仿宋_GB2312"/>
          <w:color w:val="auto"/>
          <w:sz w:val="32"/>
          <w:szCs w:val="32"/>
        </w:rPr>
        <w:t>彻执行自治区表彰奖励办法，综合管理表彰奖励工作，配合</w:t>
      </w: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0000FF"/>
          <w:sz w:val="32"/>
          <w:szCs w:val="32"/>
          <w:lang w:eastAsia="zh-CN"/>
        </w:rPr>
        <w:t>、</w:t>
      </w:r>
      <w:r>
        <w:rPr>
          <w:rFonts w:hint="eastAsia" w:ascii="仿宋_GB2312" w:hAnsi="仿宋_GB2312" w:eastAsia="仿宋_GB2312" w:cs="仿宋_GB2312"/>
          <w:color w:val="000000"/>
          <w:sz w:val="32"/>
          <w:szCs w:val="32"/>
          <w:lang w:eastAsia="zh-CN"/>
        </w:rPr>
        <w:t>市</w:t>
      </w:r>
      <w:r>
        <w:rPr>
          <w:rFonts w:hint="default" w:ascii="仿宋_GB2312" w:hAnsi="仿宋_GB2312" w:eastAsia="仿宋_GB2312" w:cs="仿宋_GB2312"/>
          <w:color w:val="000000"/>
          <w:sz w:val="32"/>
          <w:szCs w:val="32"/>
        </w:rPr>
        <w:t>开展评比达标表彰相关工作。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default"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11.</w:t>
      </w:r>
      <w:r>
        <w:rPr>
          <w:rFonts w:hint="default" w:ascii="仿宋_GB2312" w:hAnsi="仿宋_GB2312" w:eastAsia="仿宋_GB2312" w:cs="仿宋_GB2312"/>
          <w:color w:val="000000"/>
          <w:sz w:val="32"/>
          <w:szCs w:val="32"/>
        </w:rPr>
        <w:t>贯彻执行自治区关于事业单位人员工资收入分配政策，建立企事业单位人员工资决定、正常增长和支付保障机制。贯彻执行企事业单位人员福利和离退休政策。</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default"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12.</w:t>
      </w:r>
      <w:r>
        <w:rPr>
          <w:rFonts w:hint="default" w:ascii="仿宋_GB2312" w:hAnsi="仿宋_GB2312" w:eastAsia="仿宋_GB2312" w:cs="仿宋_GB2312"/>
          <w:color w:val="000000"/>
          <w:sz w:val="32"/>
          <w:szCs w:val="32"/>
        </w:rPr>
        <w:t>贯彻执行自治区关于农牧民工工作的综合性政策和工作规划，推动相关政策落实，协调解决重点难点问题，维护农牧民工合法权益。</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default"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13.</w:t>
      </w:r>
      <w:r>
        <w:rPr>
          <w:rFonts w:hint="default" w:ascii="仿宋_GB2312" w:hAnsi="仿宋_GB2312" w:eastAsia="仿宋_GB2312" w:cs="仿宋_GB2312"/>
          <w:color w:val="000000"/>
          <w:sz w:val="32"/>
          <w:szCs w:val="32"/>
        </w:rPr>
        <w:t>负责本行业领域安全生产监督管理和应急处置工作。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default"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14.</w:t>
      </w:r>
      <w:r>
        <w:rPr>
          <w:rFonts w:hint="default" w:ascii="仿宋_GB2312" w:hAnsi="仿宋_GB2312" w:eastAsia="仿宋_GB2312" w:cs="仿宋_GB2312"/>
          <w:color w:val="000000"/>
          <w:sz w:val="32"/>
          <w:szCs w:val="32"/>
        </w:rPr>
        <w:t>完成</w:t>
      </w:r>
      <w:r>
        <w:rPr>
          <w:rFonts w:hint="eastAsia" w:ascii="仿宋_GB2312" w:hAnsi="仿宋_GB2312" w:eastAsia="仿宋_GB2312" w:cs="仿宋_GB2312"/>
          <w:color w:val="000000"/>
          <w:sz w:val="32"/>
          <w:szCs w:val="32"/>
          <w:lang w:eastAsia="zh-CN"/>
        </w:rPr>
        <w:t>县</w:t>
      </w:r>
      <w:r>
        <w:rPr>
          <w:rFonts w:hint="default" w:ascii="仿宋_GB2312" w:hAnsi="仿宋_GB2312" w:eastAsia="仿宋_GB2312" w:cs="仿宋_GB2312"/>
          <w:color w:val="000000"/>
          <w:sz w:val="32"/>
          <w:szCs w:val="32"/>
        </w:rPr>
        <w:t>委、</w:t>
      </w:r>
      <w:r>
        <w:rPr>
          <w:rFonts w:hint="eastAsia" w:ascii="仿宋_GB2312" w:hAnsi="仿宋_GB2312" w:eastAsia="仿宋_GB2312" w:cs="仿宋_GB2312"/>
          <w:color w:val="000000"/>
          <w:sz w:val="32"/>
          <w:szCs w:val="32"/>
          <w:lang w:eastAsia="zh-CN"/>
        </w:rPr>
        <w:t>县</w:t>
      </w:r>
      <w:r>
        <w:rPr>
          <w:rFonts w:hint="default" w:ascii="仿宋_GB2312" w:hAnsi="仿宋_GB2312" w:eastAsia="仿宋_GB2312" w:cs="仿宋_GB2312"/>
          <w:color w:val="000000"/>
          <w:sz w:val="32"/>
          <w:szCs w:val="32"/>
        </w:rPr>
        <w:t>政府交办的其他任务。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default"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15.</w:t>
      </w:r>
      <w:r>
        <w:rPr>
          <w:rFonts w:hint="default" w:ascii="仿宋_GB2312" w:hAnsi="仿宋_GB2312" w:eastAsia="仿宋_GB2312" w:cs="仿宋_GB2312"/>
          <w:color w:val="000000"/>
          <w:sz w:val="32"/>
          <w:szCs w:val="32"/>
        </w:rPr>
        <w:t>职能转变。深入推进简政放权、放管结合、优化服务改革，进一步减少行政审批事项，规范和优化对外办理事项，减少职业资格许可和认定等审批事项，实行国家职业资格目录清单管理，加强事中事后监管，创新就业和社会保障等公共服务方式，加强信息共享，提高公共服务水平。</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default"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16.</w:t>
      </w:r>
      <w:r>
        <w:rPr>
          <w:rFonts w:hint="default" w:ascii="仿宋_GB2312" w:hAnsi="仿宋_GB2312" w:eastAsia="仿宋_GB2312" w:cs="仿宋_GB2312"/>
          <w:color w:val="000000"/>
          <w:sz w:val="32"/>
          <w:szCs w:val="32"/>
        </w:rPr>
        <w:t>有关职责分工。与</w:t>
      </w:r>
      <w:r>
        <w:rPr>
          <w:rFonts w:hint="eastAsia" w:ascii="仿宋_GB2312" w:hAnsi="仿宋_GB2312" w:eastAsia="仿宋_GB2312" w:cs="仿宋_GB2312"/>
          <w:color w:val="000000"/>
          <w:sz w:val="32"/>
          <w:szCs w:val="32"/>
          <w:lang w:eastAsia="zh-CN"/>
        </w:rPr>
        <w:t>县</w:t>
      </w:r>
      <w:r>
        <w:rPr>
          <w:rFonts w:hint="default" w:ascii="仿宋_GB2312" w:hAnsi="仿宋_GB2312" w:eastAsia="仿宋_GB2312" w:cs="仿宋_GB2312"/>
          <w:color w:val="000000"/>
          <w:sz w:val="32"/>
          <w:szCs w:val="32"/>
        </w:rPr>
        <w:t>教育局的有关职责分工。</w:t>
      </w:r>
      <w:r>
        <w:rPr>
          <w:rFonts w:hint="eastAsia" w:ascii="仿宋_GB2312" w:hAnsi="仿宋_GB2312" w:eastAsia="仿宋_GB2312" w:cs="仿宋_GB2312"/>
          <w:color w:val="000000"/>
          <w:sz w:val="32"/>
          <w:szCs w:val="32"/>
          <w:lang w:eastAsia="zh-CN"/>
        </w:rPr>
        <w:t>县</w:t>
      </w:r>
      <w:r>
        <w:rPr>
          <w:rFonts w:hint="default" w:ascii="仿宋_GB2312" w:hAnsi="仿宋_GB2312" w:eastAsia="仿宋_GB2312" w:cs="仿宋_GB2312"/>
          <w:color w:val="000000"/>
          <w:sz w:val="32"/>
          <w:szCs w:val="32"/>
        </w:rPr>
        <w:t>人力资源和社会保障局牵头，会同</w:t>
      </w:r>
      <w:r>
        <w:rPr>
          <w:rFonts w:hint="eastAsia" w:ascii="仿宋_GB2312" w:hAnsi="仿宋_GB2312" w:eastAsia="仿宋_GB2312" w:cs="仿宋_GB2312"/>
          <w:color w:val="000000"/>
          <w:sz w:val="32"/>
          <w:szCs w:val="32"/>
          <w:lang w:eastAsia="zh-CN"/>
        </w:rPr>
        <w:t>县</w:t>
      </w:r>
      <w:r>
        <w:rPr>
          <w:rFonts w:hint="default" w:ascii="仿宋_GB2312" w:hAnsi="仿宋_GB2312" w:eastAsia="仿宋_GB2312" w:cs="仿宋_GB2312"/>
          <w:color w:val="000000"/>
          <w:sz w:val="32"/>
          <w:szCs w:val="32"/>
        </w:rPr>
        <w:t>教育局等部门拟订高校毕业生就业政策。</w:t>
      </w:r>
      <w:r>
        <w:rPr>
          <w:rFonts w:hint="eastAsia" w:ascii="仿宋_GB2312" w:hAnsi="仿宋_GB2312" w:eastAsia="仿宋_GB2312" w:cs="仿宋_GB2312"/>
          <w:color w:val="000000"/>
          <w:sz w:val="32"/>
          <w:szCs w:val="32"/>
          <w:lang w:eastAsia="zh-CN"/>
        </w:rPr>
        <w:t>县</w:t>
      </w:r>
      <w:r>
        <w:rPr>
          <w:rFonts w:hint="default" w:ascii="仿宋_GB2312" w:hAnsi="仿宋_GB2312" w:eastAsia="仿宋_GB2312" w:cs="仿宋_GB2312"/>
          <w:color w:val="000000"/>
          <w:sz w:val="32"/>
          <w:szCs w:val="32"/>
        </w:rPr>
        <w:t>教育局</w:t>
      </w:r>
      <w:r>
        <w:rPr>
          <w:rFonts w:hint="eastAsia" w:ascii="仿宋_GB2312" w:hAnsi="仿宋_GB2312" w:eastAsia="仿宋_GB2312" w:cs="仿宋_GB2312"/>
          <w:color w:val="000000"/>
          <w:sz w:val="32"/>
          <w:szCs w:val="32"/>
          <w:lang w:eastAsia="zh-CN"/>
        </w:rPr>
        <w:t>协调</w:t>
      </w:r>
      <w:r>
        <w:rPr>
          <w:rFonts w:hint="default" w:ascii="仿宋_GB2312" w:hAnsi="仿宋_GB2312" w:eastAsia="仿宋_GB2312" w:cs="仿宋_GB2312"/>
          <w:color w:val="000000"/>
          <w:sz w:val="32"/>
          <w:szCs w:val="32"/>
        </w:rPr>
        <w:t>负责高校毕业生离校前的就业指导和服务工作，</w:t>
      </w:r>
      <w:r>
        <w:rPr>
          <w:rFonts w:hint="eastAsia" w:ascii="仿宋_GB2312" w:hAnsi="仿宋_GB2312" w:eastAsia="仿宋_GB2312" w:cs="仿宋_GB2312"/>
          <w:color w:val="000000"/>
          <w:sz w:val="32"/>
          <w:szCs w:val="32"/>
          <w:lang w:eastAsia="zh-CN"/>
        </w:rPr>
        <w:t>县</w:t>
      </w:r>
      <w:r>
        <w:rPr>
          <w:rFonts w:hint="default" w:ascii="仿宋_GB2312" w:hAnsi="仿宋_GB2312" w:eastAsia="仿宋_GB2312" w:cs="仿宋_GB2312"/>
          <w:color w:val="000000"/>
          <w:sz w:val="32"/>
          <w:szCs w:val="32"/>
        </w:rPr>
        <w:t>人力资源和社会保障局负责高校毕业生离校后的就业指导和服务工作。</w:t>
      </w:r>
    </w:p>
    <w:p>
      <w:pPr>
        <w:pageBreakBefore w:val="0"/>
        <w:kinsoku/>
        <w:wordWrap/>
        <w:overflowPunct/>
        <w:topLinePunct w:val="0"/>
        <w:autoSpaceDE/>
        <w:bidi w:val="0"/>
        <w:adjustRightInd/>
        <w:snapToGrid/>
        <w:spacing w:line="576" w:lineRule="exact"/>
        <w:ind w:firstLine="640" w:firstLineChars="200"/>
        <w:textAlignment w:val="auto"/>
        <w:rPr>
          <w:rFonts w:hint="eastAsia" w:ascii="仿宋_GB2312" w:hAnsi="宋体" w:eastAsia="仿宋_GB2312"/>
          <w:sz w:val="32"/>
          <w:szCs w:val="32"/>
        </w:rPr>
      </w:pPr>
      <w:r>
        <w:rPr>
          <w:rFonts w:hint="eastAsia" w:ascii="仿宋_GB2312" w:hAnsi="宋体" w:eastAsia="仿宋_GB2312"/>
          <w:sz w:val="32"/>
          <w:szCs w:val="32"/>
        </w:rPr>
        <w:t>17</w:t>
      </w:r>
      <w:r>
        <w:rPr>
          <w:rFonts w:hint="eastAsia" w:ascii="仿宋_GB2312" w:hAnsi="宋体" w:eastAsia="仿宋_GB2312"/>
          <w:sz w:val="32"/>
          <w:szCs w:val="32"/>
          <w:lang w:val="en-US" w:eastAsia="zh-CN"/>
        </w:rPr>
        <w:t>.</w:t>
      </w:r>
      <w:r>
        <w:rPr>
          <w:rFonts w:hint="eastAsia" w:ascii="仿宋_GB2312" w:hAnsi="宋体" w:eastAsia="仿宋_GB2312"/>
          <w:sz w:val="32"/>
          <w:szCs w:val="32"/>
        </w:rPr>
        <w:t>管理所属事业单位。</w:t>
      </w:r>
    </w:p>
    <w:p>
      <w:pPr>
        <w:pageBreakBefore w:val="0"/>
        <w:kinsoku/>
        <w:wordWrap/>
        <w:overflowPunct/>
        <w:topLinePunct w:val="0"/>
        <w:autoSpaceDE/>
        <w:bidi w:val="0"/>
        <w:adjustRightInd/>
        <w:snapToGrid/>
        <w:spacing w:line="576" w:lineRule="exact"/>
        <w:ind w:firstLine="640" w:firstLineChars="200"/>
        <w:textAlignment w:val="auto"/>
        <w:rPr>
          <w:rFonts w:hint="eastAsia" w:ascii="楷体" w:hAnsi="楷体" w:eastAsia="楷体" w:cs="楷体"/>
          <w:sz w:val="32"/>
          <w:szCs w:val="32"/>
        </w:rPr>
      </w:pPr>
      <w:r>
        <w:rPr>
          <w:rFonts w:hint="eastAsia" w:ascii="仿宋_GB2312" w:hAnsi="宋体" w:eastAsia="仿宋_GB2312"/>
          <w:sz w:val="32"/>
          <w:szCs w:val="32"/>
          <w:lang w:val="en-US" w:eastAsia="zh-CN"/>
        </w:rPr>
        <w:t>18.承办县政府交办的其他事项</w:t>
      </w:r>
    </w:p>
    <w:bookmarkEnd w:id="3"/>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rPr>
      </w:pPr>
      <w:bookmarkStart w:id="4" w:name="_Toc2665"/>
      <w:r>
        <w:rPr>
          <w:rFonts w:hint="eastAsia" w:ascii="楷体_GB2312" w:hAnsi="楷体_GB2312" w:eastAsia="楷体_GB2312" w:cs="楷体_GB2312"/>
          <w:sz w:val="32"/>
          <w:szCs w:val="32"/>
        </w:rPr>
        <w:t>二、</w:t>
      </w:r>
      <w:r>
        <w:rPr>
          <w:rFonts w:hint="eastAsia" w:ascii="楷体_GB2312" w:hAnsi="楷体_GB2312" w:eastAsia="楷体_GB2312" w:cs="楷体_GB2312"/>
          <w:sz w:val="32"/>
          <w:szCs w:val="32"/>
          <w:lang w:val="en-US" w:eastAsia="zh-CN"/>
        </w:rPr>
        <w:t>机构设置</w:t>
      </w:r>
      <w:bookmarkEnd w:id="4"/>
    </w:p>
    <w:p>
      <w:pPr>
        <w:pageBreakBefore w:val="0"/>
        <w:kinsoku/>
        <w:wordWrap/>
        <w:overflowPunct/>
        <w:topLinePunct w:val="0"/>
        <w:autoSpaceDE/>
        <w:bidi w:val="0"/>
        <w:adjustRightInd/>
        <w:snapToGrid/>
        <w:spacing w:line="576" w:lineRule="exact"/>
        <w:ind w:firstLine="640" w:firstLineChars="200"/>
        <w:textAlignment w:val="auto"/>
        <w:rPr>
          <w:rFonts w:hint="eastAsia" w:ascii="仿宋_GB2312" w:hAnsi="宋体" w:eastAsia="仿宋_GB2312"/>
          <w:sz w:val="32"/>
          <w:szCs w:val="32"/>
        </w:rPr>
      </w:pPr>
      <w:r>
        <w:rPr>
          <w:rFonts w:hint="eastAsia" w:ascii="仿宋_GB2312" w:hAnsi="宋体" w:eastAsia="仿宋_GB2312"/>
          <w:sz w:val="32"/>
          <w:szCs w:val="32"/>
        </w:rPr>
        <w:t>墨脱县</w:t>
      </w:r>
      <w:r>
        <w:rPr>
          <w:rFonts w:hint="eastAsia" w:ascii="仿宋_GB2312" w:hAnsi="宋体" w:eastAsia="仿宋_GB2312"/>
          <w:sz w:val="32"/>
          <w:szCs w:val="32"/>
          <w:lang w:eastAsia="zh-CN"/>
        </w:rPr>
        <w:t>人社</w:t>
      </w:r>
      <w:r>
        <w:rPr>
          <w:rFonts w:hint="eastAsia" w:ascii="仿宋_GB2312" w:hAnsi="宋体" w:eastAsia="仿宋_GB2312"/>
          <w:sz w:val="32"/>
          <w:szCs w:val="32"/>
        </w:rPr>
        <w:t>局，</w:t>
      </w:r>
      <w:r>
        <w:rPr>
          <w:rFonts w:hint="eastAsia" w:ascii="仿宋_GB2312" w:hAnsi="仿宋_GB2312" w:eastAsia="仿宋_GB2312" w:cs="仿宋_GB2312"/>
          <w:color w:val="000000"/>
          <w:sz w:val="32"/>
          <w:szCs w:val="32"/>
          <w:lang w:eastAsia="zh-CN"/>
        </w:rPr>
        <w:t>县</w:t>
      </w:r>
      <w:r>
        <w:rPr>
          <w:rFonts w:hint="default" w:ascii="仿宋_GB2312" w:hAnsi="仿宋_GB2312" w:eastAsia="仿宋_GB2312" w:cs="仿宋_GB2312"/>
          <w:color w:val="000000"/>
          <w:sz w:val="32"/>
          <w:szCs w:val="32"/>
        </w:rPr>
        <w:t>人民政府工作部门，为正</w:t>
      </w:r>
      <w:r>
        <w:rPr>
          <w:rFonts w:hint="eastAsia" w:ascii="仿宋_GB2312" w:hAnsi="仿宋_GB2312" w:eastAsia="仿宋_GB2312" w:cs="仿宋_GB2312"/>
          <w:color w:val="000000"/>
          <w:sz w:val="32"/>
          <w:szCs w:val="32"/>
          <w:lang w:eastAsia="zh-CN"/>
        </w:rPr>
        <w:t>科</w:t>
      </w:r>
      <w:r>
        <w:rPr>
          <w:rFonts w:hint="default" w:ascii="仿宋_GB2312" w:hAnsi="仿宋_GB2312" w:eastAsia="仿宋_GB2312" w:cs="仿宋_GB2312"/>
          <w:color w:val="000000"/>
          <w:sz w:val="32"/>
          <w:szCs w:val="32"/>
        </w:rPr>
        <w:t>级</w:t>
      </w:r>
      <w:r>
        <w:rPr>
          <w:rFonts w:hint="eastAsia" w:ascii="仿宋_GB2312" w:hAnsi="仿宋_GB2312" w:eastAsia="仿宋_GB2312" w:cs="仿宋_GB2312"/>
          <w:color w:val="000000"/>
          <w:sz w:val="32"/>
          <w:szCs w:val="32"/>
          <w:lang w:eastAsia="zh-CN"/>
        </w:rPr>
        <w:t>，加挂县劳动保障监察大队牌子，</w:t>
      </w:r>
      <w:r>
        <w:rPr>
          <w:rFonts w:hint="eastAsia" w:ascii="仿宋_GB2312" w:hAnsi="宋体" w:eastAsia="仿宋_GB2312"/>
          <w:sz w:val="32"/>
          <w:szCs w:val="32"/>
        </w:rPr>
        <w:t>内设机构</w:t>
      </w:r>
      <w:r>
        <w:rPr>
          <w:rFonts w:hint="eastAsia" w:ascii="仿宋_GB2312" w:hAnsi="宋体" w:eastAsia="仿宋_GB2312"/>
          <w:sz w:val="32"/>
          <w:szCs w:val="32"/>
          <w:lang w:val="en-US" w:eastAsia="zh-CN"/>
        </w:rPr>
        <w:t>1</w:t>
      </w:r>
      <w:r>
        <w:rPr>
          <w:rFonts w:hint="eastAsia" w:ascii="仿宋_GB2312" w:hAnsi="宋体" w:eastAsia="仿宋_GB2312"/>
          <w:sz w:val="32"/>
          <w:szCs w:val="32"/>
        </w:rPr>
        <w:t>个，为</w:t>
      </w:r>
      <w:r>
        <w:rPr>
          <w:rFonts w:hint="eastAsia" w:ascii="仿宋_GB2312" w:hAnsi="宋体" w:eastAsia="仿宋_GB2312"/>
          <w:sz w:val="32"/>
          <w:szCs w:val="32"/>
          <w:lang w:eastAsia="zh-CN"/>
        </w:rPr>
        <w:t>社会保障服务中心</w:t>
      </w:r>
      <w:r>
        <w:rPr>
          <w:rFonts w:hint="eastAsia" w:ascii="仿宋_GB2312" w:hAnsi="宋体"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outlineLvl w:val="0"/>
        <w:rPr>
          <w:rFonts w:hint="eastAsia"/>
          <w:sz w:val="32"/>
          <w:szCs w:val="32"/>
          <w:lang w:val="en-US" w:eastAsia="zh-CN"/>
        </w:rPr>
      </w:pPr>
      <w:bookmarkStart w:id="5" w:name="_Toc27444"/>
      <w:r>
        <w:rPr>
          <w:rFonts w:hint="eastAsia" w:ascii="黑体" w:hAnsi="黑体" w:eastAsia="黑体" w:cs="黑体"/>
          <w:sz w:val="32"/>
          <w:szCs w:val="32"/>
        </w:rPr>
        <w:t xml:space="preserve">第二部分 </w:t>
      </w:r>
      <w:r>
        <w:rPr>
          <w:rFonts w:hint="eastAsia" w:ascii="黑体" w:hAnsi="黑体" w:eastAsia="黑体" w:cs="黑体"/>
          <w:sz w:val="32"/>
          <w:szCs w:val="32"/>
          <w:lang w:val="en-US" w:eastAsia="zh-CN"/>
        </w:rPr>
        <w:t>2024年度部门决算公开表</w:t>
      </w:r>
      <w:bookmarkEnd w:id="5"/>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一、收入支出</w:t>
      </w:r>
      <w:r>
        <w:rPr>
          <w:rFonts w:hint="eastAsia" w:ascii="仿宋_GB2312" w:hAnsi="仿宋_GB2312" w:eastAsia="仿宋_GB2312" w:cs="仿宋_GB2312"/>
          <w:sz w:val="32"/>
          <w:szCs w:val="32"/>
          <w:lang w:val="en-US" w:eastAsia="zh-CN"/>
        </w:rPr>
        <w:t>决算公开表</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二、收入决算</w:t>
      </w:r>
      <w:r>
        <w:rPr>
          <w:rFonts w:hint="eastAsia" w:ascii="仿宋_GB2312" w:hAnsi="仿宋_GB2312" w:eastAsia="仿宋_GB2312" w:cs="仿宋_GB2312"/>
          <w:sz w:val="32"/>
          <w:szCs w:val="32"/>
          <w:lang w:val="en-US" w:eastAsia="zh-CN"/>
        </w:rPr>
        <w:t>公开表</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三、支出决算</w:t>
      </w:r>
      <w:r>
        <w:rPr>
          <w:rFonts w:hint="eastAsia" w:ascii="仿宋_GB2312" w:hAnsi="仿宋_GB2312" w:eastAsia="仿宋_GB2312" w:cs="仿宋_GB2312"/>
          <w:sz w:val="32"/>
          <w:szCs w:val="32"/>
          <w:lang w:val="en-US" w:eastAsia="zh-CN"/>
        </w:rPr>
        <w:t>公开表</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四、财政拨款收入支出决算</w:t>
      </w:r>
      <w:r>
        <w:rPr>
          <w:rFonts w:hint="eastAsia" w:ascii="仿宋_GB2312" w:hAnsi="仿宋_GB2312" w:eastAsia="仿宋_GB2312" w:cs="仿宋_GB2312"/>
          <w:sz w:val="32"/>
          <w:szCs w:val="32"/>
          <w:lang w:val="en-US" w:eastAsia="zh-CN"/>
        </w:rPr>
        <w:t>公开表</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五、一般公共预算财政拨款支出</w:t>
      </w:r>
      <w:r>
        <w:rPr>
          <w:rFonts w:hint="eastAsia" w:ascii="仿宋_GB2312" w:hAnsi="仿宋_GB2312" w:eastAsia="仿宋_GB2312" w:cs="仿宋_GB2312"/>
          <w:sz w:val="32"/>
          <w:szCs w:val="32"/>
          <w:lang w:val="en-US" w:eastAsia="zh-CN"/>
        </w:rPr>
        <w:t>决算公开表</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六、一般公共预算财政拨款基本支出</w:t>
      </w:r>
      <w:r>
        <w:rPr>
          <w:rFonts w:hint="eastAsia" w:ascii="仿宋_GB2312" w:hAnsi="仿宋_GB2312" w:eastAsia="仿宋_GB2312" w:cs="仿宋_GB2312"/>
          <w:sz w:val="32"/>
          <w:szCs w:val="32"/>
          <w:lang w:val="en-US" w:eastAsia="zh-CN"/>
        </w:rPr>
        <w:t>决算公开表</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七、政府性基金预算财政拨款收入支出决算</w:t>
      </w:r>
      <w:r>
        <w:rPr>
          <w:rFonts w:hint="eastAsia" w:ascii="仿宋_GB2312" w:hAnsi="仿宋_GB2312" w:eastAsia="仿宋_GB2312" w:cs="仿宋_GB2312"/>
          <w:sz w:val="32"/>
          <w:szCs w:val="32"/>
          <w:lang w:val="en-US" w:eastAsia="zh-CN"/>
        </w:rPr>
        <w:t>公开表</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rPr>
        <w:t>国有资本经营预算财政拨款收入支出决</w:t>
      </w:r>
      <w:r>
        <w:rPr>
          <w:rFonts w:hint="eastAsia" w:ascii="仿宋_GB2312" w:hAnsi="仿宋_GB2312" w:eastAsia="仿宋_GB2312" w:cs="仿宋_GB2312"/>
          <w:sz w:val="32"/>
          <w:szCs w:val="32"/>
          <w:lang w:val="en-US" w:eastAsia="zh-CN"/>
        </w:rPr>
        <w:t>算公开表</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w:t>
      </w:r>
      <w:r>
        <w:rPr>
          <w:rFonts w:hint="eastAsia" w:ascii="仿宋_GB2312" w:hAnsi="仿宋_GB2312" w:eastAsia="仿宋_GB2312" w:cs="仿宋_GB2312"/>
          <w:sz w:val="32"/>
          <w:szCs w:val="32"/>
        </w:rPr>
        <w:t>财政拨款“三公”经费支出决算</w:t>
      </w:r>
      <w:r>
        <w:rPr>
          <w:rFonts w:hint="eastAsia" w:ascii="仿宋_GB2312" w:hAnsi="仿宋_GB2312" w:eastAsia="仿宋_GB2312" w:cs="仿宋_GB2312"/>
          <w:sz w:val="32"/>
          <w:szCs w:val="32"/>
          <w:lang w:val="en-US" w:eastAsia="zh-CN"/>
        </w:rPr>
        <w:t>公开表</w:t>
      </w:r>
    </w:p>
    <w:p>
      <w:pPr>
        <w:pageBreakBefore w:val="0"/>
        <w:kinsoku/>
        <w:wordWrap/>
        <w:overflowPunct/>
        <w:topLinePunct w:val="0"/>
        <w:autoSpaceDE/>
        <w:bidi w:val="0"/>
        <w:adjustRightInd/>
        <w:snapToGrid/>
        <w:spacing w:line="576"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以上表格详见附件1</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outlineLvl w:val="0"/>
        <w:rPr>
          <w:rFonts w:hint="eastAsia" w:ascii="仿宋_GB2312" w:hAnsi="仿宋_GB2312" w:eastAsia="仿宋_GB2312" w:cs="仿宋_GB2312"/>
          <w:b/>
          <w:sz w:val="32"/>
          <w:szCs w:val="32"/>
          <w:lang w:eastAsia="zh-CN"/>
        </w:rPr>
      </w:pPr>
      <w:bookmarkStart w:id="6" w:name="_Toc27501"/>
      <w:bookmarkStart w:id="7" w:name="_Toc28405"/>
      <w:r>
        <w:rPr>
          <w:rFonts w:hint="eastAsia" w:ascii="黑体" w:hAnsi="黑体" w:eastAsia="黑体" w:cs="黑体"/>
          <w:sz w:val="32"/>
          <w:szCs w:val="32"/>
        </w:rPr>
        <w:t xml:space="preserve">第三部分 </w:t>
      </w:r>
      <w:r>
        <w:rPr>
          <w:rFonts w:hint="eastAsia" w:ascii="黑体" w:hAnsi="黑体" w:eastAsia="黑体" w:cs="黑体"/>
          <w:sz w:val="32"/>
          <w:szCs w:val="32"/>
          <w:lang w:val="en-US" w:eastAsia="zh-CN"/>
        </w:rPr>
        <w:t>2024年度部门决算情况说明</w:t>
      </w:r>
      <w:bookmarkEnd w:id="6"/>
    </w:p>
    <w:p>
      <w:pPr>
        <w:pageBreakBefore w:val="0"/>
        <w:numPr>
          <w:ilvl w:val="0"/>
          <w:numId w:val="0"/>
        </w:numPr>
        <w:kinsoku/>
        <w:wordWrap/>
        <w:overflowPunct/>
        <w:topLinePunct w:val="0"/>
        <w:autoSpaceDE/>
        <w:bidi w:val="0"/>
        <w:adjustRightInd/>
        <w:snapToGrid/>
        <w:spacing w:line="576" w:lineRule="exact"/>
        <w:ind w:left="630" w:leftChars="0"/>
        <w:textAlignment w:val="auto"/>
        <w:outlineLvl w:val="9"/>
        <w:rPr>
          <w:rFonts w:hint="eastAsia" w:ascii="楷体_GB2312" w:hAnsi="楷体_GB2312" w:eastAsia="楷体_GB2312" w:cs="楷体_GB2312"/>
          <w:b w:val="0"/>
          <w:bCs/>
          <w:sz w:val="32"/>
          <w:szCs w:val="32"/>
          <w:lang w:eastAsia="zh-CN"/>
        </w:rPr>
      </w:pPr>
    </w:p>
    <w:p>
      <w:pPr>
        <w:pageBreakBefore w:val="0"/>
        <w:numPr>
          <w:ilvl w:val="0"/>
          <w:numId w:val="0"/>
        </w:numPr>
        <w:kinsoku/>
        <w:wordWrap/>
        <w:overflowPunct/>
        <w:topLinePunct w:val="0"/>
        <w:autoSpaceDE/>
        <w:bidi w:val="0"/>
        <w:adjustRightInd/>
        <w:snapToGrid/>
        <w:spacing w:line="576" w:lineRule="exact"/>
        <w:ind w:left="630" w:leftChars="0"/>
        <w:textAlignment w:val="auto"/>
        <w:outlineLvl w:val="1"/>
        <w:rPr>
          <w:rFonts w:hint="eastAsia" w:ascii="楷体_GB2312" w:hAnsi="楷体_GB2312" w:eastAsia="楷体_GB2312" w:cs="楷体_GB2312"/>
          <w:b w:val="0"/>
          <w:bCs/>
          <w:sz w:val="32"/>
          <w:szCs w:val="32"/>
        </w:rPr>
      </w:pPr>
      <w:bookmarkStart w:id="8" w:name="_Toc30696"/>
      <w:r>
        <w:rPr>
          <w:rFonts w:hint="eastAsia" w:ascii="楷体_GB2312" w:hAnsi="楷体_GB2312" w:eastAsia="楷体_GB2312" w:cs="楷体_GB2312"/>
          <w:b w:val="0"/>
          <w:bCs/>
          <w:sz w:val="32"/>
          <w:szCs w:val="32"/>
          <w:lang w:eastAsia="zh-CN"/>
        </w:rPr>
        <w:t>一、</w:t>
      </w:r>
      <w:r>
        <w:rPr>
          <w:rFonts w:hint="eastAsia" w:ascii="楷体_GB2312" w:hAnsi="楷体_GB2312" w:eastAsia="楷体_GB2312" w:cs="楷体_GB2312"/>
          <w:b w:val="0"/>
          <w:bCs/>
          <w:sz w:val="32"/>
          <w:szCs w:val="32"/>
        </w:rPr>
        <w:t>收入支出决算总体情况说明</w:t>
      </w:r>
      <w:bookmarkEnd w:id="7"/>
      <w:bookmarkEnd w:id="8"/>
    </w:p>
    <w:p>
      <w:pPr>
        <w:pageBreakBefore w:val="0"/>
        <w:kinsoku/>
        <w:wordWrap/>
        <w:overflowPunct/>
        <w:topLinePunct w:val="0"/>
        <w:autoSpaceDE/>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2024</w:t>
      </w:r>
      <w:r>
        <w:rPr>
          <w:rFonts w:hint="eastAsia" w:ascii="仿宋_GB2312" w:hAnsi="仿宋_GB2312" w:eastAsia="仿宋_GB2312" w:cs="仿宋_GB2312"/>
          <w:sz w:val="32"/>
          <w:szCs w:val="32"/>
        </w:rPr>
        <w:t>年度收入</w:t>
      </w:r>
      <w:r>
        <w:rPr>
          <w:rFonts w:hint="eastAsia" w:ascii="仿宋_GB2312" w:hAnsi="仿宋_GB2312" w:eastAsia="仿宋_GB2312" w:cs="仿宋_GB2312"/>
          <w:sz w:val="32"/>
          <w:szCs w:val="32"/>
          <w:lang w:val="en-US" w:eastAsia="zh-CN"/>
        </w:rPr>
        <w:t>3,236.80</w:t>
      </w:r>
      <w:r>
        <w:rPr>
          <w:rFonts w:hint="eastAsia" w:ascii="仿宋_GB2312" w:hAnsi="仿宋_GB2312" w:eastAsia="仿宋_GB2312" w:cs="仿宋_GB2312"/>
          <w:sz w:val="32"/>
          <w:szCs w:val="32"/>
        </w:rPr>
        <w:t>万元、支出</w:t>
      </w:r>
      <w:r>
        <w:rPr>
          <w:rFonts w:hint="eastAsia" w:ascii="仿宋_GB2312" w:hAnsi="仿宋_GB2312" w:eastAsia="仿宋_GB2312" w:cs="仿宋_GB2312"/>
          <w:sz w:val="32"/>
          <w:szCs w:val="32"/>
          <w:lang w:val="en-US" w:eastAsia="zh-CN"/>
        </w:rPr>
        <w:t>3,236.80</w:t>
      </w:r>
      <w:r>
        <w:rPr>
          <w:rFonts w:hint="eastAsia" w:ascii="仿宋_GB2312" w:hAnsi="仿宋_GB2312" w:eastAsia="仿宋_GB2312" w:cs="仿宋_GB2312"/>
          <w:sz w:val="32"/>
          <w:szCs w:val="32"/>
        </w:rPr>
        <w:t>万元，与</w:t>
      </w:r>
      <w:r>
        <w:rPr>
          <w:rFonts w:hint="eastAsia" w:ascii="仿宋_GB2312" w:hAnsi="仿宋_GB2312" w:eastAsia="仿宋_GB2312" w:cs="仿宋_GB2312"/>
          <w:sz w:val="32"/>
          <w:szCs w:val="32"/>
          <w:lang w:val="en-US" w:eastAsia="zh-CN"/>
        </w:rPr>
        <w:t>2023</w:t>
      </w:r>
      <w:r>
        <w:rPr>
          <w:rFonts w:hint="eastAsia" w:ascii="仿宋_GB2312" w:hAnsi="仿宋_GB2312" w:eastAsia="仿宋_GB2312" w:cs="仿宋_GB2312"/>
          <w:sz w:val="32"/>
          <w:szCs w:val="32"/>
        </w:rPr>
        <w:t>年相比，收</w:t>
      </w:r>
      <w:r>
        <w:rPr>
          <w:rFonts w:hint="eastAsia" w:ascii="仿宋_GB2312" w:hAnsi="仿宋_GB2312" w:eastAsia="仿宋_GB2312" w:cs="仿宋_GB2312"/>
          <w:sz w:val="32"/>
          <w:szCs w:val="32"/>
          <w:lang w:eastAsia="zh-CN"/>
        </w:rPr>
        <w:t>入、</w:t>
      </w:r>
      <w:r>
        <w:rPr>
          <w:rFonts w:hint="eastAsia" w:ascii="仿宋_GB2312" w:hAnsi="仿宋_GB2312" w:eastAsia="仿宋_GB2312" w:cs="仿宋_GB2312"/>
          <w:sz w:val="32"/>
          <w:szCs w:val="32"/>
          <w:lang w:val="en-US" w:eastAsia="zh-CN"/>
        </w:rPr>
        <w:t>支出总计各增加1666.76</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增长106%，增加</w:t>
      </w:r>
      <w:r>
        <w:rPr>
          <w:rFonts w:hint="eastAsia" w:ascii="仿宋_GB2312" w:hAnsi="仿宋_GB2312" w:eastAsia="仿宋_GB2312" w:cs="仿宋_GB2312"/>
          <w:sz w:val="32"/>
          <w:szCs w:val="32"/>
        </w:rPr>
        <w:t>的主要原因</w:t>
      </w:r>
      <w:r>
        <w:rPr>
          <w:rFonts w:hint="eastAsia" w:ascii="仿宋_GB2312" w:hAnsi="仿宋_GB2312" w:eastAsia="仿宋_GB2312" w:cs="仿宋_GB2312"/>
          <w:sz w:val="32"/>
          <w:szCs w:val="32"/>
          <w:highlight w:val="none"/>
        </w:rPr>
        <w:t>是</w:t>
      </w:r>
      <w:r>
        <w:rPr>
          <w:rFonts w:hint="eastAsia" w:ascii="仿宋_GB2312" w:hAnsi="仿宋_GB2312" w:eastAsia="仿宋_GB2312" w:cs="仿宋_GB2312"/>
          <w:sz w:val="32"/>
          <w:szCs w:val="32"/>
          <w:highlight w:val="none"/>
          <w:lang w:val="en-US" w:eastAsia="zh-CN"/>
        </w:rPr>
        <w:t>财政拨款收入以及上级部门拨款就业补助资金增加</w:t>
      </w:r>
      <w:r>
        <w:rPr>
          <w:rFonts w:hint="eastAsia" w:ascii="仿宋_GB2312" w:hAnsi="仿宋_GB2312" w:eastAsia="仿宋_GB2312" w:cs="仿宋_GB2312"/>
          <w:sz w:val="32"/>
          <w:szCs w:val="32"/>
        </w:rPr>
        <w:t>。</w:t>
      </w:r>
    </w:p>
    <w:p>
      <w:pPr>
        <w:pageBreakBefore w:val="0"/>
        <w:kinsoku/>
        <w:wordWrap/>
        <w:overflowPunct/>
        <w:topLinePunct w:val="0"/>
        <w:autoSpaceDE/>
        <w:bidi w:val="0"/>
        <w:adjustRightInd/>
        <w:snapToGrid/>
        <w:spacing w:line="576"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b w:val="0"/>
          <w:bCs w:val="0"/>
          <w:kern w:val="2"/>
          <w:sz w:val="32"/>
          <w:szCs w:val="32"/>
          <w:lang w:val="en-US" w:eastAsia="zh-CN" w:bidi="ar-SA"/>
        </w:rPr>
        <w:t>收入总计主要构成。</w:t>
      </w:r>
    </w:p>
    <w:p>
      <w:pPr>
        <w:pageBreakBefore w:val="0"/>
        <w:kinsoku/>
        <w:wordWrap/>
        <w:overflowPunct/>
        <w:topLinePunct w:val="0"/>
        <w:autoSpaceDE/>
        <w:bidi w:val="0"/>
        <w:adjustRightInd/>
        <w:snapToGrid/>
        <w:spacing w:line="576" w:lineRule="exact"/>
        <w:ind w:firstLine="640" w:firstLineChars="200"/>
        <w:textAlignment w:val="auto"/>
        <w:rPr>
          <w:rFonts w:hint="default" w:ascii="仿宋" w:hAnsi="仿宋" w:eastAsia="仿宋" w:cs="Times New Roman"/>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本年收入</w:t>
      </w:r>
      <w:r>
        <w:rPr>
          <w:rFonts w:hint="eastAsia" w:ascii="仿宋_GB2312" w:hAnsi="仿宋_GB2312" w:eastAsia="仿宋_GB2312" w:cs="仿宋_GB2312"/>
          <w:sz w:val="32"/>
          <w:szCs w:val="32"/>
          <w:lang w:val="en-US" w:eastAsia="zh-CN"/>
        </w:rPr>
        <w:t>3,236.80</w:t>
      </w:r>
      <w:r>
        <w:rPr>
          <w:rFonts w:hint="eastAsia" w:ascii="仿宋_GB2312" w:hAnsi="仿宋_GB2312" w:eastAsia="仿宋_GB2312" w:cs="仿宋_GB2312"/>
          <w:b w:val="0"/>
          <w:bCs w:val="0"/>
          <w:kern w:val="2"/>
          <w:sz w:val="32"/>
          <w:szCs w:val="32"/>
          <w:lang w:val="en-US" w:eastAsia="zh-CN" w:bidi="ar-SA"/>
        </w:rPr>
        <w:t>万元。使用非财政拨款结余0万元，</w:t>
      </w:r>
      <w:r>
        <w:rPr>
          <w:rFonts w:hint="eastAsia" w:ascii="仿宋_GB2312" w:hAnsi="ˎ̥" w:eastAsia="仿宋_GB2312"/>
          <w:sz w:val="32"/>
          <w:szCs w:val="32"/>
        </w:rPr>
        <w:t>年初结转结余</w:t>
      </w:r>
      <w:r>
        <w:rPr>
          <w:rFonts w:hint="eastAsia" w:ascii="仿宋_GB2312" w:hAnsi="ˎ̥" w:eastAsia="仿宋_GB2312"/>
          <w:color w:val="auto"/>
          <w:sz w:val="32"/>
          <w:szCs w:val="32"/>
          <w:lang w:val="en-US" w:eastAsia="zh-CN"/>
        </w:rPr>
        <w:t>0</w:t>
      </w:r>
      <w:r>
        <w:rPr>
          <w:rFonts w:hint="eastAsia" w:ascii="仿宋_GB2312" w:hAnsi="ˎ̥" w:eastAsia="仿宋_GB2312"/>
          <w:sz w:val="32"/>
          <w:szCs w:val="32"/>
        </w:rPr>
        <w:t>万元</w:t>
      </w:r>
      <w:r>
        <w:rPr>
          <w:rFonts w:hint="eastAsia" w:ascii="仿宋_GB2312" w:hAnsi="仿宋_GB2312" w:eastAsia="仿宋_GB2312" w:cs="仿宋_GB2312"/>
          <w:b w:val="0"/>
          <w:bCs w:val="0"/>
          <w:kern w:val="2"/>
          <w:sz w:val="32"/>
          <w:szCs w:val="32"/>
          <w:lang w:val="en-US" w:eastAsia="zh-CN" w:bidi="ar-SA"/>
        </w:rPr>
        <w:t>。</w:t>
      </w:r>
    </w:p>
    <w:p>
      <w:pPr>
        <w:numPr>
          <w:ilvl w:val="0"/>
          <w:numId w:val="0"/>
        </w:numPr>
        <w:ind w:firstLine="640" w:firstLineChars="200"/>
        <w:rPr>
          <w:rFonts w:hint="eastAsia" w:ascii="仿宋_GB2312" w:hAnsi="仿宋_GB2312" w:eastAsia="仿宋_GB2312" w:cs="仿宋_GB2312"/>
          <w:lang w:val="en-US" w:eastAsia="zh-CN"/>
        </w:rPr>
      </w:pPr>
      <w:r>
        <w:rPr>
          <w:rFonts w:hint="eastAsia" w:ascii="仿宋_GB2312" w:hAnsi="仿宋_GB2312" w:eastAsia="仿宋_GB2312" w:cs="仿宋_GB2312"/>
          <w:b w:val="0"/>
          <w:bCs w:val="0"/>
          <w:kern w:val="2"/>
          <w:sz w:val="32"/>
          <w:szCs w:val="32"/>
          <w:lang w:val="en-US" w:eastAsia="zh-CN" w:bidi="ar-SA"/>
        </w:rPr>
        <w:t>（二）支出总计主要构成。</w:t>
      </w:r>
    </w:p>
    <w:p>
      <w:pPr>
        <w:pageBreakBefore w:val="0"/>
        <w:kinsoku/>
        <w:wordWrap/>
        <w:overflowPunct/>
        <w:topLinePunct w:val="0"/>
        <w:autoSpaceDE/>
        <w:bidi w:val="0"/>
        <w:adjustRightInd/>
        <w:snapToGrid/>
        <w:spacing w:line="576"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本年支出</w:t>
      </w:r>
      <w:r>
        <w:rPr>
          <w:rFonts w:hint="eastAsia" w:ascii="仿宋_GB2312" w:hAnsi="仿宋_GB2312" w:eastAsia="仿宋_GB2312" w:cs="仿宋_GB2312"/>
          <w:sz w:val="32"/>
          <w:szCs w:val="32"/>
          <w:lang w:val="en-US" w:eastAsia="zh-CN"/>
        </w:rPr>
        <w:t>3,236.80</w:t>
      </w:r>
      <w:r>
        <w:rPr>
          <w:rFonts w:hint="eastAsia" w:ascii="仿宋_GB2312" w:hAnsi="仿宋_GB2312" w:eastAsia="仿宋_GB2312" w:cs="仿宋_GB2312"/>
          <w:b w:val="0"/>
          <w:bCs w:val="0"/>
          <w:kern w:val="2"/>
          <w:sz w:val="32"/>
          <w:szCs w:val="32"/>
          <w:lang w:val="en-US" w:eastAsia="zh-CN" w:bidi="ar-SA"/>
        </w:rPr>
        <w:t>万元。其中：基本支出572.77万元，占17.70%；项目支出2,664.03万元，占82.30%。</w:t>
      </w:r>
      <w:r>
        <w:rPr>
          <w:rFonts w:hint="eastAsia" w:ascii="仿宋_GB2312" w:hAnsi="ˎ̥" w:eastAsia="仿宋_GB2312"/>
          <w:sz w:val="32"/>
          <w:szCs w:val="32"/>
        </w:rPr>
        <w:t>使用非财政拨款结余</w:t>
      </w:r>
      <w:r>
        <w:rPr>
          <w:rFonts w:hint="default" w:ascii="仿宋_GB2312" w:hAnsi="ˎ̥" w:eastAsia="仿宋_GB2312"/>
          <w:color w:val="auto"/>
          <w:sz w:val="32"/>
          <w:szCs w:val="32"/>
          <w:lang w:val="en-US"/>
        </w:rPr>
        <w:t>0</w:t>
      </w:r>
      <w:r>
        <w:rPr>
          <w:rFonts w:hint="eastAsia" w:ascii="仿宋_GB2312" w:hAnsi="ˎ̥" w:eastAsia="仿宋_GB2312"/>
          <w:sz w:val="32"/>
          <w:szCs w:val="32"/>
        </w:rPr>
        <w:t>万元</w:t>
      </w:r>
      <w:r>
        <w:rPr>
          <w:rFonts w:hint="eastAsia" w:ascii="仿宋_GB2312" w:hAnsi="ˎ̥" w:eastAsia="仿宋_GB2312"/>
          <w:sz w:val="32"/>
          <w:szCs w:val="32"/>
          <w:lang w:eastAsia="zh-CN"/>
        </w:rPr>
        <w:t>，</w:t>
      </w:r>
      <w:r>
        <w:rPr>
          <w:rFonts w:hint="eastAsia" w:ascii="仿宋_GB2312" w:hAnsi="ˎ̥" w:eastAsia="仿宋_GB2312"/>
          <w:sz w:val="32"/>
          <w:szCs w:val="32"/>
        </w:rPr>
        <w:t>年初结转结余</w:t>
      </w:r>
      <w:r>
        <w:rPr>
          <w:rFonts w:hint="eastAsia" w:ascii="仿宋_GB2312" w:hAnsi="ˎ̥" w:eastAsia="仿宋_GB2312"/>
          <w:color w:val="auto"/>
          <w:sz w:val="32"/>
          <w:szCs w:val="32"/>
          <w:lang w:val="en-US" w:eastAsia="zh-CN"/>
        </w:rPr>
        <w:t>0</w:t>
      </w:r>
      <w:r>
        <w:rPr>
          <w:rFonts w:hint="eastAsia" w:ascii="仿宋_GB2312" w:hAnsi="ˎ̥" w:eastAsia="仿宋_GB2312"/>
          <w:sz w:val="32"/>
          <w:szCs w:val="32"/>
        </w:rPr>
        <w:t>万元</w:t>
      </w:r>
      <w:r>
        <w:rPr>
          <w:rFonts w:hint="eastAsia" w:ascii="仿宋_GB2312" w:hAnsi="仿宋_GB2312" w:eastAsia="仿宋_GB2312" w:cs="仿宋_GB2312"/>
          <w:b w:val="0"/>
          <w:bCs w:val="0"/>
          <w:kern w:val="2"/>
          <w:sz w:val="32"/>
          <w:szCs w:val="32"/>
          <w:lang w:val="en-US" w:eastAsia="zh-CN" w:bidi="ar-SA"/>
        </w:rPr>
        <w:t>。</w:t>
      </w:r>
    </w:p>
    <w:p>
      <w:pPr>
        <w:pageBreakBefore w:val="0"/>
        <w:numPr>
          <w:ilvl w:val="0"/>
          <w:numId w:val="0"/>
        </w:numPr>
        <w:kinsoku/>
        <w:wordWrap/>
        <w:overflowPunct/>
        <w:topLinePunct w:val="0"/>
        <w:autoSpaceDE/>
        <w:bidi w:val="0"/>
        <w:adjustRightInd/>
        <w:snapToGrid/>
        <w:spacing w:line="576" w:lineRule="exact"/>
        <w:ind w:left="630" w:leftChars="0"/>
        <w:textAlignment w:val="auto"/>
        <w:outlineLvl w:val="1"/>
        <w:rPr>
          <w:rFonts w:hint="eastAsia" w:ascii="楷体_GB2312" w:hAnsi="楷体_GB2312" w:eastAsia="楷体_GB2312" w:cs="楷体_GB2312"/>
          <w:b w:val="0"/>
          <w:bCs/>
          <w:sz w:val="32"/>
          <w:szCs w:val="32"/>
        </w:rPr>
      </w:pPr>
      <w:bookmarkStart w:id="9" w:name="_Toc6197"/>
      <w:bookmarkStart w:id="10" w:name="_Toc3123"/>
      <w:r>
        <w:rPr>
          <w:rFonts w:hint="eastAsia" w:ascii="楷体_GB2312" w:hAnsi="楷体_GB2312" w:eastAsia="楷体_GB2312" w:cs="楷体_GB2312"/>
          <w:b w:val="0"/>
          <w:bCs/>
          <w:sz w:val="32"/>
          <w:szCs w:val="32"/>
          <w:lang w:eastAsia="zh-CN"/>
        </w:rPr>
        <w:t>二、</w:t>
      </w:r>
      <w:r>
        <w:rPr>
          <w:rFonts w:hint="eastAsia" w:ascii="楷体_GB2312" w:hAnsi="楷体_GB2312" w:eastAsia="楷体_GB2312" w:cs="楷体_GB2312"/>
          <w:b w:val="0"/>
          <w:bCs/>
          <w:sz w:val="32"/>
          <w:szCs w:val="32"/>
        </w:rPr>
        <w:t>收入决算情况说明</w:t>
      </w:r>
      <w:bookmarkEnd w:id="9"/>
      <w:bookmarkEnd w:id="10"/>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ˎ̥" w:eastAsia="仿宋_GB2312"/>
          <w:color w:val="auto"/>
          <w:sz w:val="32"/>
          <w:szCs w:val="32"/>
        </w:rPr>
        <w:t xml:space="preserve"> 本年收入</w:t>
      </w:r>
      <w:r>
        <w:rPr>
          <w:rFonts w:hint="default" w:ascii="仿宋_GB2312" w:hAnsi="ˎ̥" w:eastAsia="仿宋_GB2312"/>
          <w:color w:val="auto"/>
          <w:sz w:val="32"/>
          <w:szCs w:val="32"/>
          <w:lang w:val="en-US"/>
        </w:rPr>
        <w:t>3,236.80</w:t>
      </w:r>
      <w:r>
        <w:rPr>
          <w:rFonts w:hint="eastAsia" w:ascii="仿宋_GB2312" w:hAnsi="ˎ̥" w:eastAsia="仿宋_GB2312"/>
          <w:color w:val="auto"/>
          <w:sz w:val="32"/>
          <w:szCs w:val="32"/>
        </w:rPr>
        <w:t>万元，其中：财政拨款收入</w:t>
      </w:r>
      <w:r>
        <w:rPr>
          <w:rFonts w:hint="default" w:ascii="仿宋_GB2312" w:hAnsi="ˎ̥" w:eastAsia="仿宋_GB2312"/>
          <w:color w:val="auto"/>
          <w:sz w:val="32"/>
          <w:szCs w:val="32"/>
          <w:lang w:val="en-US"/>
        </w:rPr>
        <w:t>3,236.80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%；上级补助收入</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%；事业收入</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%；经营收入</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%；附属单位上缴收入</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%；其他收入</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w:t>
      </w:r>
    </w:p>
    <w:p>
      <w:pPr>
        <w:pageBreakBefore w:val="0"/>
        <w:numPr>
          <w:ilvl w:val="0"/>
          <w:numId w:val="0"/>
        </w:numPr>
        <w:kinsoku/>
        <w:wordWrap/>
        <w:overflowPunct/>
        <w:topLinePunct w:val="0"/>
        <w:autoSpaceDE/>
        <w:bidi w:val="0"/>
        <w:adjustRightInd/>
        <w:snapToGrid/>
        <w:spacing w:line="576" w:lineRule="exact"/>
        <w:ind w:left="630" w:leftChars="0"/>
        <w:textAlignment w:val="auto"/>
        <w:outlineLvl w:val="1"/>
        <w:rPr>
          <w:rFonts w:hint="eastAsia" w:ascii="楷体_GB2312" w:hAnsi="楷体_GB2312" w:eastAsia="楷体_GB2312" w:cs="楷体_GB2312"/>
          <w:b w:val="0"/>
          <w:bCs/>
          <w:sz w:val="32"/>
          <w:szCs w:val="32"/>
        </w:rPr>
      </w:pPr>
      <w:bookmarkStart w:id="11" w:name="_Toc7019"/>
      <w:bookmarkStart w:id="12" w:name="_Toc16013"/>
      <w:r>
        <w:rPr>
          <w:rFonts w:hint="eastAsia" w:ascii="楷体_GB2312" w:hAnsi="楷体_GB2312" w:eastAsia="楷体_GB2312" w:cs="楷体_GB2312"/>
          <w:b w:val="0"/>
          <w:bCs/>
          <w:sz w:val="32"/>
          <w:szCs w:val="32"/>
          <w:lang w:eastAsia="zh-CN"/>
        </w:rPr>
        <w:t>三、</w:t>
      </w:r>
      <w:r>
        <w:rPr>
          <w:rFonts w:hint="eastAsia" w:ascii="楷体_GB2312" w:hAnsi="楷体_GB2312" w:eastAsia="楷体_GB2312" w:cs="楷体_GB2312"/>
          <w:b w:val="0"/>
          <w:bCs/>
          <w:sz w:val="32"/>
          <w:szCs w:val="32"/>
        </w:rPr>
        <w:t>支出决算情况说明</w:t>
      </w:r>
      <w:bookmarkEnd w:id="11"/>
      <w:bookmarkEnd w:id="12"/>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lang w:val="en-US" w:eastAsia="zh-CN"/>
        </w:rPr>
      </w:pPr>
      <w:r>
        <w:rPr>
          <w:rFonts w:hint="eastAsia" w:ascii="仿宋_GB2312" w:hAnsi="ˎ̥" w:eastAsia="仿宋_GB2312"/>
          <w:color w:val="auto"/>
          <w:sz w:val="32"/>
          <w:szCs w:val="32"/>
        </w:rPr>
        <w:t>本年支出</w:t>
      </w:r>
      <w:r>
        <w:rPr>
          <w:rFonts w:hint="eastAsia" w:ascii="仿宋_GB2312" w:hAnsi="ˎ̥" w:eastAsia="仿宋_GB2312"/>
          <w:color w:val="auto"/>
          <w:sz w:val="32"/>
          <w:szCs w:val="32"/>
          <w:lang w:val="en-US" w:eastAsia="zh-CN"/>
        </w:rPr>
        <w:t>3,236.80</w:t>
      </w:r>
      <w:r>
        <w:rPr>
          <w:rFonts w:hint="eastAsia" w:ascii="仿宋_GB2312" w:hAnsi="ˎ̥" w:eastAsia="仿宋_GB2312"/>
          <w:color w:val="auto"/>
          <w:sz w:val="32"/>
          <w:szCs w:val="32"/>
        </w:rPr>
        <w:t>万元，</w:t>
      </w:r>
      <w:r>
        <w:rPr>
          <w:rFonts w:hint="eastAsia" w:ascii="仿宋_GB2312" w:hAnsi="ˎ̥" w:eastAsia="仿宋_GB2312"/>
          <w:color w:val="auto"/>
          <w:sz w:val="32"/>
          <w:szCs w:val="32"/>
          <w:lang w:val="en-US" w:eastAsia="zh-CN"/>
        </w:rPr>
        <w:t>其中：</w:t>
      </w:r>
      <w:r>
        <w:rPr>
          <w:rFonts w:hint="eastAsia" w:ascii="仿宋_GB2312" w:hAnsi="ˎ̥" w:eastAsia="仿宋_GB2312"/>
          <w:color w:val="auto"/>
          <w:sz w:val="32"/>
          <w:szCs w:val="32"/>
        </w:rPr>
        <w:t>基本支出</w:t>
      </w:r>
      <w:r>
        <w:rPr>
          <w:rFonts w:hint="eastAsia" w:ascii="仿宋_GB2312" w:hAnsi="ˎ̥" w:eastAsia="仿宋_GB2312"/>
          <w:color w:val="auto"/>
          <w:sz w:val="32"/>
          <w:szCs w:val="32"/>
          <w:lang w:val="en-US" w:eastAsia="zh-CN"/>
        </w:rPr>
        <w:t>572.77</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17.70%；</w:t>
      </w:r>
      <w:r>
        <w:rPr>
          <w:rFonts w:hint="eastAsia" w:ascii="仿宋_GB2312" w:hAnsi="ˎ̥" w:eastAsia="仿宋_GB2312"/>
          <w:color w:val="auto"/>
          <w:sz w:val="32"/>
          <w:szCs w:val="32"/>
        </w:rPr>
        <w:t>项目支出</w:t>
      </w:r>
      <w:r>
        <w:rPr>
          <w:rFonts w:hint="eastAsia" w:ascii="仿宋_GB2312" w:hAnsi="ˎ̥" w:eastAsia="仿宋_GB2312"/>
          <w:color w:val="auto"/>
          <w:sz w:val="32"/>
          <w:szCs w:val="32"/>
          <w:lang w:val="en-US" w:eastAsia="zh-CN"/>
        </w:rPr>
        <w:t>2,664.03</w:t>
      </w:r>
      <w:r>
        <w:rPr>
          <w:rFonts w:hint="eastAsia" w:ascii="仿宋_GB2312" w:hAnsi="ˎ̥" w:eastAsia="仿宋_GB2312"/>
          <w:color w:val="auto"/>
          <w:sz w:val="32"/>
          <w:szCs w:val="32"/>
        </w:rPr>
        <w:t>万元，</w:t>
      </w:r>
      <w:r>
        <w:rPr>
          <w:rFonts w:hint="eastAsia" w:ascii="仿宋_GB2312" w:hAnsi="ˎ̥" w:eastAsia="仿宋_GB2312"/>
          <w:color w:val="auto"/>
          <w:sz w:val="32"/>
          <w:szCs w:val="32"/>
          <w:lang w:val="en-US" w:eastAsia="zh-CN"/>
        </w:rPr>
        <w:t>占82.30%；</w:t>
      </w:r>
      <w:r>
        <w:rPr>
          <w:rFonts w:hint="eastAsia" w:ascii="仿宋_GB2312" w:hAnsi="ˎ̥" w:eastAsia="仿宋_GB2312"/>
          <w:color w:val="auto"/>
          <w:sz w:val="32"/>
          <w:szCs w:val="32"/>
        </w:rPr>
        <w:t>上缴上级支出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%；经营支出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%；对附属单位补助支出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w:t>
      </w:r>
      <w:r>
        <w:rPr>
          <w:rFonts w:hint="eastAsia" w:ascii="仿宋_GB2312" w:hAnsi="ˎ̥" w:eastAsia="仿宋_GB2312"/>
          <w:color w:val="auto"/>
          <w:sz w:val="32"/>
          <w:szCs w:val="32"/>
          <w:lang w:eastAsia="zh-CN"/>
        </w:rPr>
        <w:t>。</w:t>
      </w:r>
    </w:p>
    <w:p>
      <w:pPr>
        <w:pageBreakBefore w:val="0"/>
        <w:numPr>
          <w:ilvl w:val="0"/>
          <w:numId w:val="0"/>
        </w:numPr>
        <w:kinsoku/>
        <w:wordWrap/>
        <w:overflowPunct/>
        <w:topLinePunct w:val="0"/>
        <w:autoSpaceDE/>
        <w:bidi w:val="0"/>
        <w:adjustRightInd/>
        <w:snapToGrid/>
        <w:spacing w:line="576" w:lineRule="exact"/>
        <w:ind w:left="630" w:leftChars="0"/>
        <w:textAlignment w:val="auto"/>
        <w:outlineLvl w:val="1"/>
        <w:rPr>
          <w:rFonts w:hint="eastAsia" w:ascii="楷体_GB2312" w:hAnsi="楷体_GB2312" w:eastAsia="楷体_GB2312" w:cs="楷体_GB2312"/>
          <w:b w:val="0"/>
          <w:bCs/>
          <w:sz w:val="32"/>
          <w:szCs w:val="32"/>
          <w:lang w:eastAsia="zh-CN"/>
        </w:rPr>
      </w:pPr>
      <w:bookmarkStart w:id="13" w:name="_Toc11801"/>
      <w:bookmarkStart w:id="14" w:name="_Toc17533"/>
      <w:r>
        <w:rPr>
          <w:rFonts w:hint="eastAsia" w:ascii="楷体_GB2312" w:hAnsi="楷体_GB2312" w:eastAsia="楷体_GB2312" w:cs="楷体_GB2312"/>
          <w:b w:val="0"/>
          <w:bCs/>
          <w:sz w:val="32"/>
          <w:szCs w:val="32"/>
          <w:lang w:eastAsia="zh-CN"/>
        </w:rPr>
        <w:t>四、财政拨款收入支出决算总体情况说明</w:t>
      </w:r>
      <w:bookmarkEnd w:id="13"/>
      <w:bookmarkEnd w:id="14"/>
    </w:p>
    <w:p>
      <w:pPr>
        <w:pageBreakBefore w:val="0"/>
        <w:kinsoku/>
        <w:wordWrap/>
        <w:overflowPunct/>
        <w:topLinePunct w:val="0"/>
        <w:autoSpaceDE/>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2024</w:t>
      </w:r>
      <w:r>
        <w:rPr>
          <w:rFonts w:hint="eastAsia" w:ascii="仿宋_GB2312" w:hAnsi="仿宋_GB2312" w:eastAsia="仿宋_GB2312" w:cs="仿宋_GB2312"/>
          <w:sz w:val="32"/>
          <w:szCs w:val="32"/>
        </w:rPr>
        <w:t>年度财政拨款收入</w:t>
      </w:r>
      <w:r>
        <w:rPr>
          <w:rFonts w:hint="eastAsia" w:ascii="仿宋_GB2312" w:hAnsi="仿宋_GB2312" w:eastAsia="仿宋_GB2312" w:cs="仿宋_GB2312"/>
          <w:sz w:val="32"/>
          <w:szCs w:val="32"/>
          <w:lang w:val="en-US" w:eastAsia="zh-CN"/>
        </w:rPr>
        <w:t>3,236.80</w:t>
      </w:r>
      <w:r>
        <w:rPr>
          <w:rFonts w:hint="eastAsia" w:ascii="仿宋_GB2312" w:hAnsi="仿宋_GB2312" w:eastAsia="仿宋_GB2312" w:cs="仿宋_GB2312"/>
          <w:sz w:val="32"/>
          <w:szCs w:val="32"/>
        </w:rPr>
        <w:t>万元、支出</w:t>
      </w:r>
      <w:r>
        <w:rPr>
          <w:rFonts w:hint="eastAsia" w:ascii="仿宋_GB2312" w:hAnsi="仿宋_GB2312" w:eastAsia="仿宋_GB2312" w:cs="仿宋_GB2312"/>
          <w:sz w:val="32"/>
          <w:szCs w:val="32"/>
          <w:lang w:val="en-US" w:eastAsia="zh-CN"/>
        </w:rPr>
        <w:t>3,236.80</w:t>
      </w:r>
      <w:r>
        <w:rPr>
          <w:rFonts w:hint="eastAsia" w:ascii="仿宋_GB2312" w:hAnsi="仿宋_GB2312" w:eastAsia="仿宋_GB2312" w:cs="仿宋_GB2312"/>
          <w:sz w:val="32"/>
          <w:szCs w:val="32"/>
        </w:rPr>
        <w:t>万元，与</w:t>
      </w:r>
      <w:r>
        <w:rPr>
          <w:rFonts w:hint="eastAsia" w:ascii="仿宋_GB2312" w:hAnsi="仿宋_GB2312" w:eastAsia="仿宋_GB2312" w:cs="仿宋_GB2312"/>
          <w:sz w:val="32"/>
          <w:szCs w:val="32"/>
          <w:lang w:val="en-US" w:eastAsia="zh-CN"/>
        </w:rPr>
        <w:t>2023</w:t>
      </w:r>
      <w:r>
        <w:rPr>
          <w:rFonts w:hint="eastAsia" w:ascii="仿宋_GB2312" w:hAnsi="仿宋_GB2312" w:eastAsia="仿宋_GB2312" w:cs="仿宋_GB2312"/>
          <w:sz w:val="32"/>
          <w:szCs w:val="32"/>
        </w:rPr>
        <w:t>年相比，收</w:t>
      </w:r>
      <w:r>
        <w:rPr>
          <w:rFonts w:hint="eastAsia" w:ascii="仿宋_GB2312" w:hAnsi="仿宋_GB2312" w:eastAsia="仿宋_GB2312" w:cs="仿宋_GB2312"/>
          <w:sz w:val="32"/>
          <w:szCs w:val="32"/>
          <w:lang w:eastAsia="zh-CN"/>
        </w:rPr>
        <w:t>入</w:t>
      </w:r>
      <w:r>
        <w:rPr>
          <w:rFonts w:hint="eastAsia" w:ascii="仿宋_GB2312" w:hAnsi="仿宋_GB2312" w:eastAsia="仿宋_GB2312" w:cs="仿宋_GB2312"/>
          <w:sz w:val="32"/>
          <w:szCs w:val="32"/>
          <w:lang w:val="en-US" w:eastAsia="zh-CN"/>
        </w:rPr>
        <w:t>增加1666.76</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增长106%，</w:t>
      </w:r>
      <w:r>
        <w:rPr>
          <w:rFonts w:hint="eastAsia" w:ascii="仿宋_GB2312" w:hAnsi="仿宋_GB2312" w:eastAsia="仿宋_GB2312" w:cs="仿宋_GB2312"/>
          <w:sz w:val="32"/>
          <w:szCs w:val="32"/>
          <w:lang w:eastAsia="zh-CN"/>
        </w:rPr>
        <w:t>支出</w:t>
      </w:r>
      <w:r>
        <w:rPr>
          <w:rFonts w:hint="eastAsia" w:ascii="仿宋_GB2312" w:hAnsi="仿宋_GB2312" w:eastAsia="仿宋_GB2312" w:cs="仿宋_GB2312"/>
          <w:sz w:val="32"/>
          <w:szCs w:val="32"/>
          <w:lang w:val="en-US" w:eastAsia="zh-CN"/>
        </w:rPr>
        <w:t>增加1666.76</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增长106%，增加</w:t>
      </w:r>
      <w:r>
        <w:rPr>
          <w:rFonts w:hint="eastAsia" w:ascii="仿宋_GB2312" w:hAnsi="仿宋_GB2312" w:eastAsia="仿宋_GB2312" w:cs="仿宋_GB2312"/>
          <w:sz w:val="32"/>
          <w:szCs w:val="32"/>
        </w:rPr>
        <w:t>的主要原因</w:t>
      </w:r>
      <w:r>
        <w:rPr>
          <w:rFonts w:hint="eastAsia" w:ascii="仿宋_GB2312" w:hAnsi="仿宋_GB2312" w:eastAsia="仿宋_GB2312" w:cs="仿宋_GB2312"/>
          <w:sz w:val="32"/>
          <w:szCs w:val="32"/>
          <w:highlight w:val="none"/>
        </w:rPr>
        <w:t>是</w:t>
      </w:r>
      <w:r>
        <w:rPr>
          <w:rFonts w:hint="eastAsia" w:ascii="仿宋_GB2312" w:hAnsi="仿宋_GB2312" w:eastAsia="仿宋_GB2312" w:cs="仿宋_GB2312"/>
          <w:sz w:val="32"/>
          <w:szCs w:val="32"/>
          <w:highlight w:val="none"/>
          <w:lang w:val="en-US" w:eastAsia="zh-CN"/>
        </w:rPr>
        <w:t>财政拨款收入增加</w:t>
      </w:r>
      <w:r>
        <w:rPr>
          <w:rFonts w:hint="eastAsia" w:ascii="仿宋_GB2312" w:hAnsi="仿宋_GB2312" w:eastAsia="仿宋_GB2312" w:cs="仿宋_GB2312"/>
          <w:sz w:val="32"/>
          <w:szCs w:val="32"/>
        </w:rPr>
        <w:t>。</w:t>
      </w:r>
    </w:p>
    <w:p>
      <w:pPr>
        <w:pageBreakBefore w:val="0"/>
        <w:numPr>
          <w:ilvl w:val="0"/>
          <w:numId w:val="0"/>
        </w:numPr>
        <w:kinsoku/>
        <w:wordWrap/>
        <w:overflowPunct/>
        <w:topLinePunct w:val="0"/>
        <w:autoSpaceDE/>
        <w:bidi w:val="0"/>
        <w:adjustRightInd/>
        <w:snapToGrid/>
        <w:spacing w:line="576" w:lineRule="exact"/>
        <w:ind w:left="630" w:leftChars="0"/>
        <w:textAlignment w:val="auto"/>
        <w:outlineLvl w:val="1"/>
        <w:rPr>
          <w:rFonts w:hint="eastAsia" w:ascii="楷体_GB2312" w:hAnsi="楷体_GB2312" w:eastAsia="楷体_GB2312" w:cs="楷体_GB2312"/>
          <w:b w:val="0"/>
          <w:bCs/>
          <w:sz w:val="32"/>
          <w:szCs w:val="32"/>
        </w:rPr>
      </w:pPr>
      <w:bookmarkStart w:id="15" w:name="_Toc5513"/>
      <w:bookmarkStart w:id="16" w:name="_Toc23455"/>
      <w:r>
        <w:rPr>
          <w:rFonts w:hint="eastAsia" w:ascii="楷体_GB2312" w:hAnsi="楷体_GB2312" w:eastAsia="楷体_GB2312" w:cs="楷体_GB2312"/>
          <w:b w:val="0"/>
          <w:bCs/>
          <w:sz w:val="32"/>
          <w:szCs w:val="32"/>
          <w:lang w:eastAsia="zh-CN"/>
        </w:rPr>
        <w:t>五、</w:t>
      </w:r>
      <w:r>
        <w:rPr>
          <w:rFonts w:hint="eastAsia" w:ascii="楷体_GB2312" w:hAnsi="楷体_GB2312" w:eastAsia="楷体_GB2312" w:cs="楷体_GB2312"/>
          <w:b w:val="0"/>
          <w:bCs/>
          <w:sz w:val="32"/>
          <w:szCs w:val="32"/>
        </w:rPr>
        <w:t>一般公共预算财政拨款支出决算情况说明</w:t>
      </w:r>
      <w:bookmarkEnd w:id="15"/>
      <w:bookmarkEnd w:id="16"/>
    </w:p>
    <w:p>
      <w:pPr>
        <w:pageBreakBefore w:val="0"/>
        <w:kinsoku/>
        <w:wordWrap/>
        <w:overflowPunct/>
        <w:topLinePunct w:val="0"/>
        <w:autoSpaceDE/>
        <w:bidi w:val="0"/>
        <w:adjustRightInd/>
        <w:snapToGrid/>
        <w:spacing w:line="576" w:lineRule="exact"/>
        <w:ind w:firstLine="640" w:firstLineChars="200"/>
        <w:textAlignment w:val="auto"/>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rPr>
        <w:t>（一）一般公共预算财政拨款支出决算总体情况</w:t>
      </w:r>
      <w:r>
        <w:rPr>
          <w:rFonts w:hint="eastAsia" w:ascii="仿宋_GB2312" w:hAnsi="仿宋_GB2312" w:eastAsia="仿宋_GB2312" w:cs="仿宋_GB2312"/>
          <w:b w:val="0"/>
          <w:bCs/>
          <w:sz w:val="32"/>
          <w:szCs w:val="32"/>
          <w:lang w:eastAsia="zh-CN"/>
        </w:rPr>
        <w:t>。</w:t>
      </w:r>
    </w:p>
    <w:p>
      <w:pPr>
        <w:pageBreakBefore w:val="0"/>
        <w:kinsoku/>
        <w:wordWrap/>
        <w:overflowPunct/>
        <w:topLinePunct w:val="0"/>
        <w:autoSpaceDE/>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20</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年度财政拨款支出</w:t>
      </w:r>
      <w:r>
        <w:rPr>
          <w:rFonts w:hint="eastAsia" w:ascii="仿宋_GB2312" w:hAnsi="仿宋_GB2312" w:eastAsia="仿宋_GB2312" w:cs="仿宋_GB2312"/>
          <w:b w:val="0"/>
          <w:bCs w:val="0"/>
          <w:kern w:val="2"/>
          <w:sz w:val="32"/>
          <w:szCs w:val="32"/>
          <w:lang w:val="en-US" w:eastAsia="zh-CN" w:bidi="ar-SA"/>
        </w:rPr>
        <w:t>3,236.80</w:t>
      </w:r>
      <w:r>
        <w:rPr>
          <w:rFonts w:hint="eastAsia" w:ascii="仿宋_GB2312" w:hAnsi="仿宋_GB2312" w:eastAsia="仿宋_GB2312" w:cs="仿宋_GB2312"/>
          <w:sz w:val="32"/>
          <w:szCs w:val="32"/>
        </w:rPr>
        <w:t>万元，与</w:t>
      </w:r>
      <w:r>
        <w:rPr>
          <w:rFonts w:hint="eastAsia" w:ascii="仿宋_GB2312" w:hAnsi="仿宋_GB2312" w:eastAsia="仿宋_GB2312" w:cs="仿宋_GB2312"/>
          <w:sz w:val="32"/>
          <w:szCs w:val="32"/>
          <w:lang w:val="en-US" w:eastAsia="zh-CN"/>
        </w:rPr>
        <w:t>2023</w:t>
      </w:r>
      <w:r>
        <w:rPr>
          <w:rFonts w:hint="eastAsia" w:ascii="仿宋_GB2312" w:hAnsi="仿宋_GB2312" w:eastAsia="仿宋_GB2312" w:cs="仿宋_GB2312"/>
          <w:sz w:val="32"/>
          <w:szCs w:val="32"/>
        </w:rPr>
        <w:t>年相比</w:t>
      </w:r>
      <w:r>
        <w:rPr>
          <w:rFonts w:hint="eastAsia" w:ascii="仿宋_GB2312" w:hAnsi="仿宋_GB2312" w:eastAsia="仿宋_GB2312" w:cs="仿宋_GB2312"/>
          <w:sz w:val="32"/>
          <w:szCs w:val="32"/>
          <w:lang w:val="en-US" w:eastAsia="zh-CN"/>
        </w:rPr>
        <w:t>增加1666.76</w:t>
      </w:r>
      <w:r>
        <w:rPr>
          <w:rFonts w:hint="eastAsia" w:ascii="仿宋_GB2312" w:hAnsi="仿宋_GB2312" w:eastAsia="仿宋_GB2312" w:cs="仿宋_GB2312"/>
          <w:sz w:val="32"/>
          <w:szCs w:val="32"/>
        </w:rPr>
        <w:t>万元，主要原因是</w:t>
      </w:r>
      <w:r>
        <w:rPr>
          <w:rFonts w:hint="eastAsia" w:ascii="仿宋_GB2312" w:hAnsi="仿宋_GB2312" w:eastAsia="仿宋_GB2312" w:cs="仿宋_GB2312"/>
          <w:sz w:val="32"/>
          <w:szCs w:val="32"/>
          <w:highlight w:val="none"/>
          <w:lang w:val="en-US" w:eastAsia="zh-CN"/>
        </w:rPr>
        <w:t>财政拨款收入增加</w:t>
      </w:r>
      <w:r>
        <w:rPr>
          <w:rFonts w:hint="eastAsia" w:ascii="仿宋_GB2312" w:hAnsi="仿宋_GB2312" w:eastAsia="仿宋_GB2312" w:cs="仿宋_GB2312"/>
          <w:sz w:val="32"/>
          <w:szCs w:val="32"/>
        </w:rPr>
        <w:t>。</w:t>
      </w:r>
    </w:p>
    <w:p>
      <w:pPr>
        <w:pageBreakBefore w:val="0"/>
        <w:numPr>
          <w:ilvl w:val="0"/>
          <w:numId w:val="1"/>
        </w:numPr>
        <w:kinsoku/>
        <w:wordWrap/>
        <w:overflowPunct/>
        <w:topLinePunct w:val="0"/>
        <w:autoSpaceDE/>
        <w:bidi w:val="0"/>
        <w:adjustRightInd/>
        <w:snapToGrid/>
        <w:spacing w:line="576"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一般公共预算财政拨款支出决算结构情况</w:t>
      </w:r>
      <w:r>
        <w:rPr>
          <w:rFonts w:hint="eastAsia" w:ascii="仿宋_GB2312" w:hAnsi="仿宋_GB2312" w:eastAsia="仿宋_GB2312" w:cs="仿宋_GB2312"/>
          <w:b w:val="0"/>
          <w:bCs/>
          <w:sz w:val="32"/>
          <w:szCs w:val="32"/>
          <w:lang w:eastAsia="zh-CN"/>
        </w:rPr>
        <w:t>。</w:t>
      </w:r>
    </w:p>
    <w:p>
      <w:pPr>
        <w:pageBreakBefore w:val="0"/>
        <w:kinsoku/>
        <w:wordWrap/>
        <w:overflowPunct/>
        <w:topLinePunct w:val="0"/>
        <w:autoSpaceDE/>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20</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年度</w:t>
      </w:r>
      <w:r>
        <w:rPr>
          <w:rFonts w:hint="eastAsia" w:ascii="仿宋_GB2312" w:hAnsi="仿宋_GB2312" w:eastAsia="仿宋_GB2312" w:cs="仿宋_GB2312"/>
          <w:b w:val="0"/>
          <w:bCs/>
          <w:sz w:val="32"/>
          <w:szCs w:val="32"/>
        </w:rPr>
        <w:t>一般公共预算财政拨款支出</w:t>
      </w:r>
      <w:r>
        <w:rPr>
          <w:rFonts w:hint="eastAsia" w:ascii="仿宋_GB2312" w:hAnsi="仿宋_GB2312" w:eastAsia="仿宋_GB2312" w:cs="仿宋_GB2312"/>
          <w:b w:val="0"/>
          <w:bCs w:val="0"/>
          <w:kern w:val="2"/>
          <w:sz w:val="32"/>
          <w:szCs w:val="32"/>
          <w:lang w:val="en-US" w:eastAsia="zh-CN" w:bidi="ar-SA"/>
        </w:rPr>
        <w:t>3,236.80万元，</w:t>
      </w:r>
      <w:r>
        <w:rPr>
          <w:rFonts w:hint="eastAsia" w:ascii="仿宋_GB2312" w:hAnsi="仿宋_GB2312" w:eastAsia="仿宋_GB2312" w:cs="仿宋_GB2312"/>
          <w:sz w:val="32"/>
          <w:szCs w:val="32"/>
        </w:rPr>
        <w:t>主要用于以下方面：</w:t>
      </w:r>
      <w:r>
        <w:rPr>
          <w:rFonts w:hint="eastAsia" w:ascii="仿宋_GB2312" w:hAnsi="仿宋_GB2312" w:eastAsia="仿宋_GB2312" w:cs="仿宋_GB2312"/>
          <w:b/>
          <w:sz w:val="32"/>
          <w:szCs w:val="32"/>
        </w:rPr>
        <w:t>社会保障和就业（类）</w:t>
      </w:r>
      <w:r>
        <w:rPr>
          <w:rFonts w:hint="eastAsia" w:ascii="仿宋_GB2312" w:hAnsi="仿宋_GB2312" w:eastAsia="仿宋_GB2312" w:cs="仿宋_GB2312"/>
          <w:sz w:val="32"/>
          <w:szCs w:val="32"/>
        </w:rPr>
        <w:t>支出</w:t>
      </w:r>
      <w:r>
        <w:rPr>
          <w:rFonts w:hint="eastAsia" w:ascii="仿宋_GB2312" w:hAnsi="仿宋_GB2312" w:eastAsia="仿宋_GB2312" w:cs="仿宋_GB2312"/>
          <w:sz w:val="32"/>
          <w:szCs w:val="32"/>
          <w:lang w:val="en-US" w:eastAsia="zh-CN"/>
        </w:rPr>
        <w:t>3,136.73</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96.91</w:t>
      </w:r>
      <w:r>
        <w:rPr>
          <w:rFonts w:hint="eastAsia" w:ascii="仿宋_GB2312" w:hAnsi="仿宋_GB2312" w:eastAsia="仿宋_GB2312" w:cs="仿宋_GB2312"/>
          <w:sz w:val="32"/>
          <w:szCs w:val="32"/>
        </w:rPr>
        <w:t>%；</w:t>
      </w:r>
      <w:r>
        <w:rPr>
          <w:rFonts w:hint="eastAsia" w:ascii="仿宋_GB2312" w:hAnsi="仿宋_GB2312" w:eastAsia="仿宋_GB2312" w:cs="仿宋_GB2312"/>
          <w:b/>
          <w:sz w:val="32"/>
          <w:szCs w:val="32"/>
        </w:rPr>
        <w:t>卫生健康（类）</w:t>
      </w:r>
      <w:r>
        <w:rPr>
          <w:rFonts w:hint="eastAsia" w:ascii="仿宋_GB2312" w:hAnsi="仿宋_GB2312" w:eastAsia="仿宋_GB2312" w:cs="仿宋_GB2312"/>
          <w:sz w:val="32"/>
          <w:szCs w:val="32"/>
        </w:rPr>
        <w:t>支出</w:t>
      </w:r>
      <w:r>
        <w:rPr>
          <w:rFonts w:hint="eastAsia" w:ascii="仿宋_GB2312" w:hAnsi="仿宋_GB2312" w:eastAsia="仿宋_GB2312" w:cs="仿宋_GB2312"/>
          <w:sz w:val="32"/>
          <w:szCs w:val="32"/>
          <w:lang w:val="en-US" w:eastAsia="zh-CN"/>
        </w:rPr>
        <w:t>34.10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1.05</w:t>
      </w:r>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rPr>
        <w:t>住房保障</w:t>
      </w:r>
      <w:r>
        <w:rPr>
          <w:rFonts w:hint="eastAsia" w:ascii="仿宋_GB2312" w:hAnsi="仿宋_GB2312" w:eastAsia="仿宋_GB2312" w:cs="仿宋_GB2312"/>
          <w:b/>
          <w:sz w:val="32"/>
          <w:szCs w:val="32"/>
        </w:rPr>
        <w:t>（类）</w:t>
      </w:r>
      <w:r>
        <w:rPr>
          <w:rFonts w:hint="eastAsia" w:ascii="仿宋_GB2312" w:hAnsi="仿宋_GB2312" w:eastAsia="仿宋_GB2312" w:cs="仿宋_GB2312"/>
          <w:sz w:val="32"/>
          <w:szCs w:val="32"/>
          <w:lang w:eastAsia="zh-CN"/>
        </w:rPr>
        <w:t>支出</w:t>
      </w:r>
      <w:r>
        <w:rPr>
          <w:rFonts w:hint="eastAsia" w:ascii="仿宋_GB2312" w:hAnsi="仿宋_GB2312" w:eastAsia="仿宋_GB2312" w:cs="仿宋_GB2312"/>
          <w:b w:val="0"/>
          <w:bCs/>
          <w:sz w:val="32"/>
          <w:szCs w:val="32"/>
          <w:lang w:val="en-US" w:eastAsia="zh-CN"/>
        </w:rPr>
        <w:t>65.97</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占</w:t>
      </w:r>
      <w:r>
        <w:rPr>
          <w:rFonts w:hint="eastAsia" w:ascii="仿宋_GB2312" w:hAnsi="仿宋_GB2312" w:eastAsia="仿宋_GB2312" w:cs="仿宋_GB2312"/>
          <w:sz w:val="32"/>
          <w:szCs w:val="32"/>
          <w:lang w:val="en-US" w:eastAsia="zh-CN"/>
        </w:rPr>
        <w:t>2.04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p>
    <w:p>
      <w:pPr>
        <w:pageBreakBefore w:val="0"/>
        <w:numPr>
          <w:ilvl w:val="0"/>
          <w:numId w:val="1"/>
        </w:numPr>
        <w:kinsoku/>
        <w:wordWrap/>
        <w:overflowPunct/>
        <w:topLinePunct w:val="0"/>
        <w:autoSpaceDE/>
        <w:bidi w:val="0"/>
        <w:adjustRightInd/>
        <w:snapToGrid/>
        <w:spacing w:line="576" w:lineRule="exact"/>
        <w:ind w:firstLine="640"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val="0"/>
          <w:bCs/>
          <w:sz w:val="32"/>
          <w:szCs w:val="32"/>
        </w:rPr>
        <w:t>一般公共预算财政拨款支出决算</w:t>
      </w:r>
      <w:r>
        <w:rPr>
          <w:rFonts w:hint="eastAsia" w:ascii="仿宋_GB2312" w:hAnsi="仿宋_GB2312" w:eastAsia="仿宋_GB2312" w:cs="仿宋_GB2312"/>
          <w:b w:val="0"/>
          <w:bCs/>
          <w:sz w:val="32"/>
          <w:szCs w:val="32"/>
          <w:lang w:val="en-US" w:eastAsia="zh-CN"/>
        </w:rPr>
        <w:t>具体</w:t>
      </w:r>
      <w:r>
        <w:rPr>
          <w:rFonts w:hint="eastAsia" w:ascii="仿宋_GB2312" w:hAnsi="仿宋_GB2312" w:eastAsia="仿宋_GB2312" w:cs="仿宋_GB2312"/>
          <w:b w:val="0"/>
          <w:bCs/>
          <w:sz w:val="32"/>
          <w:szCs w:val="32"/>
        </w:rPr>
        <w:t>情况</w:t>
      </w:r>
      <w:r>
        <w:rPr>
          <w:rFonts w:hint="eastAsia" w:ascii="仿宋_GB2312" w:hAnsi="仿宋_GB2312" w:eastAsia="仿宋_GB2312" w:cs="仿宋_GB2312"/>
          <w:b w:val="0"/>
          <w:bCs/>
          <w:sz w:val="32"/>
          <w:szCs w:val="32"/>
          <w:lang w:eastAsia="zh-CN"/>
        </w:rPr>
        <w:t>。</w:t>
      </w:r>
    </w:p>
    <w:p>
      <w:pPr>
        <w:pageBreakBefore w:val="0"/>
        <w:kinsoku/>
        <w:wordWrap/>
        <w:overflowPunct/>
        <w:topLinePunct w:val="0"/>
        <w:autoSpaceDE/>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2024</w:t>
      </w:r>
      <w:r>
        <w:rPr>
          <w:rFonts w:hint="eastAsia" w:ascii="仿宋_GB2312" w:hAnsi="仿宋_GB2312" w:eastAsia="仿宋_GB2312" w:cs="仿宋_GB2312"/>
          <w:sz w:val="32"/>
          <w:szCs w:val="32"/>
        </w:rPr>
        <w:t>年度一般公共预算财政拨款支出</w:t>
      </w:r>
      <w:r>
        <w:rPr>
          <w:rFonts w:hint="eastAsia" w:ascii="仿宋_GB2312" w:hAnsi="仿宋_GB2312" w:eastAsia="仿宋_GB2312" w:cs="仿宋_GB2312"/>
          <w:sz w:val="32"/>
          <w:szCs w:val="32"/>
          <w:lang w:val="en-US" w:eastAsia="zh-CN"/>
        </w:rPr>
        <w:t>年初预算</w:t>
      </w:r>
      <w:r>
        <w:rPr>
          <w:rFonts w:hint="eastAsia" w:ascii="仿宋_GB2312" w:hAnsi="仿宋_GB2312" w:eastAsia="仿宋_GB2312" w:cs="仿宋_GB2312"/>
          <w:sz w:val="32"/>
          <w:szCs w:val="32"/>
        </w:rPr>
        <w:t>为</w:t>
      </w:r>
      <w:r>
        <w:rPr>
          <w:rFonts w:hint="eastAsia" w:ascii="仿宋_GB2312" w:hAnsi="仿宋_GB2312" w:eastAsia="仿宋_GB2312" w:cs="仿宋_GB2312"/>
          <w:b w:val="0"/>
          <w:bCs w:val="0"/>
          <w:kern w:val="2"/>
          <w:sz w:val="32"/>
          <w:szCs w:val="32"/>
          <w:lang w:val="en-US" w:eastAsia="zh-CN" w:bidi="ar-SA"/>
        </w:rPr>
        <w:t>2530.06万元</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支出决算为</w:t>
      </w:r>
      <w:r>
        <w:rPr>
          <w:rFonts w:hint="eastAsia" w:ascii="仿宋_GB2312" w:hAnsi="仿宋_GB2312" w:eastAsia="仿宋_GB2312" w:cs="仿宋_GB2312"/>
          <w:b w:val="0"/>
          <w:bCs w:val="0"/>
          <w:kern w:val="2"/>
          <w:sz w:val="32"/>
          <w:szCs w:val="32"/>
          <w:lang w:val="en-US" w:eastAsia="zh-CN" w:bidi="ar-SA"/>
        </w:rPr>
        <w:t>3,236.80万元，完成年初预算的127.93%。其中：</w:t>
      </w:r>
    </w:p>
    <w:p>
      <w:pPr>
        <w:pageBreakBefore w:val="0"/>
        <w:numPr>
          <w:ilvl w:val="0"/>
          <w:numId w:val="0"/>
        </w:numPr>
        <w:kinsoku/>
        <w:wordWrap/>
        <w:overflowPunct/>
        <w:topLinePunct w:val="0"/>
        <w:autoSpaceDE/>
        <w:bidi w:val="0"/>
        <w:adjustRightInd/>
        <w:snapToGrid/>
        <w:spacing w:line="576" w:lineRule="exact"/>
        <w:ind w:leftChars="0"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val="0"/>
          <w:sz w:val="32"/>
          <w:szCs w:val="32"/>
          <w:lang w:val="en-US" w:eastAsia="zh-CN"/>
        </w:rPr>
        <w:t>1.</w:t>
      </w:r>
      <w:r>
        <w:rPr>
          <w:rFonts w:hint="eastAsia" w:ascii="仿宋_GB2312" w:hAnsi="仿宋_GB2312" w:eastAsia="仿宋_GB2312" w:cs="仿宋_GB2312"/>
          <w:b/>
          <w:bCs w:val="0"/>
          <w:sz w:val="32"/>
          <w:szCs w:val="32"/>
          <w:lang w:eastAsia="zh-CN"/>
        </w:rPr>
        <w:t>社会保障</w:t>
      </w:r>
      <w:r>
        <w:rPr>
          <w:rFonts w:hint="eastAsia" w:ascii="仿宋_GB2312" w:hAnsi="仿宋_GB2312" w:eastAsia="仿宋_GB2312" w:cs="仿宋_GB2312"/>
          <w:b/>
          <w:sz w:val="32"/>
          <w:szCs w:val="32"/>
          <w:lang w:eastAsia="zh-CN"/>
        </w:rPr>
        <w:t>和就业</w:t>
      </w:r>
      <w:r>
        <w:rPr>
          <w:rFonts w:hint="eastAsia" w:ascii="仿宋_GB2312" w:hAnsi="仿宋_GB2312" w:eastAsia="仿宋_GB2312" w:cs="仿宋_GB2312"/>
          <w:b/>
          <w:sz w:val="32"/>
          <w:szCs w:val="32"/>
        </w:rPr>
        <w:t>支出（类）人力资源和社会保障管理事务（款）行政运行（项）</w:t>
      </w:r>
      <w:r>
        <w:rPr>
          <w:rFonts w:hint="eastAsia" w:ascii="仿宋_GB2312" w:hAnsi="仿宋_GB2312" w:eastAsia="仿宋_GB2312" w:cs="仿宋_GB2312"/>
          <w:sz w:val="32"/>
          <w:szCs w:val="32"/>
        </w:rPr>
        <w:t>支出</w:t>
      </w:r>
      <w:r>
        <w:rPr>
          <w:rFonts w:hint="eastAsia" w:ascii="仿宋_GB2312" w:hAnsi="仿宋_GB2312" w:eastAsia="仿宋_GB2312" w:cs="仿宋_GB2312"/>
          <w:sz w:val="32"/>
          <w:szCs w:val="32"/>
          <w:lang w:val="en-US" w:eastAsia="zh-CN"/>
        </w:rPr>
        <w:t>420.79</w:t>
      </w:r>
      <w:r>
        <w:rPr>
          <w:rFonts w:hint="eastAsia" w:ascii="仿宋_GB2312" w:hAnsi="仿宋_GB2312" w:eastAsia="仿宋_GB2312" w:cs="仿宋_GB2312"/>
          <w:sz w:val="32"/>
          <w:szCs w:val="32"/>
        </w:rPr>
        <w:t>万元。</w:t>
      </w:r>
    </w:p>
    <w:p>
      <w:pPr>
        <w:pageBreakBefore w:val="0"/>
        <w:numPr>
          <w:ilvl w:val="0"/>
          <w:numId w:val="0"/>
        </w:numPr>
        <w:kinsoku/>
        <w:wordWrap/>
        <w:overflowPunct/>
        <w:topLinePunct w:val="0"/>
        <w:autoSpaceDE/>
        <w:bidi w:val="0"/>
        <w:adjustRightInd/>
        <w:snapToGrid/>
        <w:spacing w:line="576" w:lineRule="exact"/>
        <w:ind w:leftChars="0"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lang w:val="en-US" w:eastAsia="zh-CN"/>
        </w:rPr>
        <w:t>2.</w:t>
      </w:r>
      <w:r>
        <w:rPr>
          <w:rFonts w:hint="eastAsia" w:ascii="仿宋_GB2312" w:hAnsi="仿宋_GB2312" w:eastAsia="仿宋_GB2312" w:cs="仿宋_GB2312"/>
          <w:b/>
          <w:sz w:val="32"/>
          <w:szCs w:val="32"/>
          <w:lang w:eastAsia="zh-CN"/>
        </w:rPr>
        <w:t>社会保障和就业</w:t>
      </w:r>
      <w:r>
        <w:rPr>
          <w:rFonts w:hint="eastAsia" w:ascii="仿宋_GB2312" w:hAnsi="仿宋_GB2312" w:eastAsia="仿宋_GB2312" w:cs="仿宋_GB2312"/>
          <w:b/>
          <w:sz w:val="32"/>
          <w:szCs w:val="32"/>
        </w:rPr>
        <w:t>支出（类）人力资源和社会保障管理事务（款）劳动保障监察（项）</w:t>
      </w:r>
      <w:r>
        <w:rPr>
          <w:rFonts w:hint="eastAsia" w:ascii="仿宋_GB2312" w:hAnsi="仿宋_GB2312" w:eastAsia="仿宋_GB2312" w:cs="仿宋_GB2312"/>
          <w:sz w:val="32"/>
          <w:szCs w:val="32"/>
        </w:rPr>
        <w:t>支出</w:t>
      </w:r>
      <w:r>
        <w:rPr>
          <w:rFonts w:hint="eastAsia" w:ascii="仿宋_GB2312" w:hAnsi="仿宋_GB2312" w:eastAsia="仿宋_GB2312" w:cs="仿宋_GB2312"/>
          <w:b w:val="0"/>
          <w:bCs/>
          <w:sz w:val="32"/>
          <w:szCs w:val="32"/>
          <w:lang w:val="en-US" w:eastAsia="zh-CN"/>
        </w:rPr>
        <w:t>17.83</w:t>
      </w:r>
      <w:r>
        <w:rPr>
          <w:rFonts w:hint="eastAsia" w:ascii="仿宋_GB2312" w:hAnsi="仿宋_GB2312" w:eastAsia="仿宋_GB2312" w:cs="仿宋_GB2312"/>
          <w:b w:val="0"/>
          <w:bCs/>
          <w:sz w:val="32"/>
          <w:szCs w:val="32"/>
        </w:rPr>
        <w:t>万</w:t>
      </w:r>
      <w:r>
        <w:rPr>
          <w:rFonts w:hint="eastAsia" w:ascii="仿宋_GB2312" w:hAnsi="仿宋_GB2312" w:eastAsia="仿宋_GB2312" w:cs="仿宋_GB2312"/>
          <w:sz w:val="32"/>
          <w:szCs w:val="32"/>
        </w:rPr>
        <w:t>元。</w:t>
      </w:r>
    </w:p>
    <w:p>
      <w:pPr>
        <w:pageBreakBefore w:val="0"/>
        <w:numPr>
          <w:ilvl w:val="0"/>
          <w:numId w:val="0"/>
        </w:numPr>
        <w:kinsoku/>
        <w:wordWrap/>
        <w:overflowPunct/>
        <w:topLinePunct w:val="0"/>
        <w:autoSpaceDE/>
        <w:bidi w:val="0"/>
        <w:adjustRightInd/>
        <w:snapToGrid/>
        <w:spacing w:line="576" w:lineRule="exact"/>
        <w:ind w:leftChars="0" w:firstLine="642" w:firstLineChars="200"/>
        <w:textAlignment w:val="auto"/>
        <w:rPr>
          <w:rFonts w:hint="eastAsia"/>
        </w:rPr>
      </w:pPr>
      <w:r>
        <w:rPr>
          <w:rFonts w:hint="eastAsia" w:ascii="仿宋_GB2312" w:hAnsi="仿宋_GB2312" w:eastAsia="仿宋_GB2312" w:cs="仿宋_GB2312"/>
          <w:b/>
          <w:sz w:val="32"/>
          <w:szCs w:val="32"/>
          <w:lang w:val="en-US" w:eastAsia="zh-CN"/>
        </w:rPr>
        <w:t>3.社会保障和就业支出（类）人力资源和社会保障管理事务（款） 劳动人事争议调解仲裁（项）</w:t>
      </w:r>
      <w:r>
        <w:rPr>
          <w:rFonts w:hint="eastAsia" w:ascii="仿宋_GB2312" w:hAnsi="仿宋_GB2312" w:eastAsia="仿宋_GB2312" w:cs="仿宋_GB2312"/>
          <w:b w:val="0"/>
          <w:bCs/>
          <w:sz w:val="32"/>
          <w:szCs w:val="32"/>
          <w:lang w:val="en-US" w:eastAsia="zh-CN"/>
        </w:rPr>
        <w:t>支出0.18万元。</w:t>
      </w:r>
    </w:p>
    <w:p>
      <w:pPr>
        <w:pageBreakBefore w:val="0"/>
        <w:numPr>
          <w:ilvl w:val="0"/>
          <w:numId w:val="0"/>
        </w:numPr>
        <w:kinsoku/>
        <w:wordWrap/>
        <w:overflowPunct/>
        <w:topLinePunct w:val="0"/>
        <w:autoSpaceDE/>
        <w:bidi w:val="0"/>
        <w:adjustRightInd/>
        <w:snapToGrid/>
        <w:spacing w:line="576" w:lineRule="exact"/>
        <w:ind w:leftChars="0" w:firstLine="642"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sz w:val="32"/>
          <w:szCs w:val="32"/>
          <w:lang w:val="en-US" w:eastAsia="zh-CN"/>
        </w:rPr>
        <w:t>4.社会保障和就业支出（类）人力资源和社会保障管理事务（款） 其他人力资源和社会保障管理事务支出（项）</w:t>
      </w:r>
      <w:r>
        <w:rPr>
          <w:rFonts w:hint="eastAsia" w:ascii="仿宋_GB2312" w:hAnsi="仿宋_GB2312" w:eastAsia="仿宋_GB2312" w:cs="仿宋_GB2312"/>
          <w:b w:val="0"/>
          <w:bCs/>
          <w:sz w:val="32"/>
          <w:szCs w:val="32"/>
          <w:lang w:val="en-US" w:eastAsia="zh-CN"/>
        </w:rPr>
        <w:t>支出204.83万元。</w:t>
      </w:r>
    </w:p>
    <w:p>
      <w:pPr>
        <w:pageBreakBefore w:val="0"/>
        <w:numPr>
          <w:ilvl w:val="0"/>
          <w:numId w:val="0"/>
        </w:numPr>
        <w:kinsoku/>
        <w:wordWrap/>
        <w:overflowPunct/>
        <w:topLinePunct w:val="0"/>
        <w:autoSpaceDE/>
        <w:bidi w:val="0"/>
        <w:adjustRightInd/>
        <w:snapToGrid/>
        <w:spacing w:line="576" w:lineRule="exact"/>
        <w:ind w:leftChars="0" w:firstLine="642"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sz w:val="32"/>
          <w:szCs w:val="32"/>
          <w:lang w:val="en-US" w:eastAsia="zh-CN"/>
        </w:rPr>
        <w:t>5.社会保障和就业支出（类）行政事业单位养老支出（款）  机关事业单位基本养老保险缴费支出（项）</w:t>
      </w:r>
      <w:r>
        <w:rPr>
          <w:rFonts w:hint="eastAsia" w:ascii="仿宋_GB2312" w:hAnsi="仿宋_GB2312" w:eastAsia="仿宋_GB2312" w:cs="仿宋_GB2312"/>
          <w:b w:val="0"/>
          <w:bCs/>
          <w:sz w:val="32"/>
          <w:szCs w:val="32"/>
          <w:lang w:val="en-US" w:eastAsia="zh-CN"/>
        </w:rPr>
        <w:t>支出56.25万元。</w:t>
      </w:r>
    </w:p>
    <w:p>
      <w:pPr>
        <w:pageBreakBefore w:val="0"/>
        <w:numPr>
          <w:ilvl w:val="0"/>
          <w:numId w:val="0"/>
        </w:numPr>
        <w:kinsoku/>
        <w:wordWrap/>
        <w:overflowPunct/>
        <w:topLinePunct w:val="0"/>
        <w:autoSpaceDE/>
        <w:bidi w:val="0"/>
        <w:adjustRightInd/>
        <w:snapToGrid/>
        <w:spacing w:line="576" w:lineRule="exact"/>
        <w:ind w:leftChars="0" w:firstLine="642"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sz w:val="32"/>
          <w:szCs w:val="32"/>
          <w:lang w:val="en-US" w:eastAsia="zh-CN"/>
        </w:rPr>
        <w:t>6.社会保障和就业支出（类）行政事业单位养老支出（款）  机关事业单位职业年金缴费支出（项）</w:t>
      </w:r>
      <w:r>
        <w:rPr>
          <w:rFonts w:hint="eastAsia" w:ascii="仿宋_GB2312" w:hAnsi="仿宋_GB2312" w:eastAsia="仿宋_GB2312" w:cs="仿宋_GB2312"/>
          <w:b w:val="0"/>
          <w:bCs/>
          <w:sz w:val="32"/>
          <w:szCs w:val="32"/>
          <w:lang w:val="en-US" w:eastAsia="zh-CN"/>
        </w:rPr>
        <w:t>支出366.82万元。</w:t>
      </w:r>
    </w:p>
    <w:p>
      <w:pPr>
        <w:pageBreakBefore w:val="0"/>
        <w:widowControl w:val="0"/>
        <w:numPr>
          <w:ilvl w:val="0"/>
          <w:numId w:val="0"/>
        </w:numPr>
        <w:kinsoku/>
        <w:wordWrap/>
        <w:overflowPunct/>
        <w:topLinePunct w:val="0"/>
        <w:autoSpaceDE/>
        <w:autoSpaceDN/>
        <w:bidi w:val="0"/>
        <w:adjustRightInd/>
        <w:snapToGrid/>
        <w:spacing w:line="578" w:lineRule="exact"/>
        <w:ind w:leftChars="0" w:firstLine="642"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bCs w:val="0"/>
          <w:sz w:val="32"/>
          <w:szCs w:val="32"/>
          <w:lang w:val="en-US" w:eastAsia="zh-CN"/>
        </w:rPr>
        <w:t>7.社会保障和就业支出（类） 就业补助（款）促进创业补贴（项）</w:t>
      </w:r>
      <w:r>
        <w:rPr>
          <w:rFonts w:hint="eastAsia" w:ascii="仿宋_GB2312" w:hAnsi="仿宋_GB2312" w:eastAsia="仿宋_GB2312" w:cs="仿宋_GB2312"/>
          <w:b w:val="0"/>
          <w:bCs/>
          <w:sz w:val="32"/>
          <w:szCs w:val="32"/>
          <w:lang w:val="en-US" w:eastAsia="zh-CN"/>
        </w:rPr>
        <w:t>支出100.00万元。</w:t>
      </w:r>
    </w:p>
    <w:p>
      <w:pPr>
        <w:pStyle w:val="2"/>
        <w:pageBreakBefore w:val="0"/>
        <w:widowControl w:val="0"/>
        <w:kinsoku/>
        <w:wordWrap/>
        <w:overflowPunct/>
        <w:topLinePunct w:val="0"/>
        <w:autoSpaceDE/>
        <w:autoSpaceDN/>
        <w:bidi w:val="0"/>
        <w:adjustRightInd/>
        <w:snapToGrid/>
        <w:spacing w:before="0" w:beforeLines="0" w:after="0" w:afterLines="0" w:line="576" w:lineRule="exact"/>
        <w:ind w:firstLine="642" w:firstLineChars="200"/>
        <w:textAlignment w:val="auto"/>
        <w:rPr>
          <w:rFonts w:hint="eastAsia" w:ascii="仿宋_GB2312" w:hAnsi="仿宋_GB2312" w:eastAsia="仿宋_GB2312" w:cs="仿宋_GB2312"/>
          <w:b/>
          <w:bCs w:val="0"/>
          <w:kern w:val="2"/>
          <w:sz w:val="32"/>
          <w:szCs w:val="32"/>
          <w:lang w:val="en-US" w:eastAsia="zh-CN" w:bidi="ar-SA"/>
        </w:rPr>
      </w:pPr>
      <w:r>
        <w:rPr>
          <w:rFonts w:hint="eastAsia" w:ascii="仿宋_GB2312" w:hAnsi="仿宋_GB2312" w:eastAsia="仿宋_GB2312" w:cs="仿宋_GB2312"/>
          <w:b/>
          <w:bCs w:val="0"/>
          <w:kern w:val="2"/>
          <w:sz w:val="32"/>
          <w:szCs w:val="32"/>
          <w:lang w:val="en-US" w:eastAsia="zh-CN" w:bidi="ar-SA"/>
        </w:rPr>
        <w:t>8.社会保障和就业支出（类） 就业补助（款）职业培训补贴（项）</w:t>
      </w:r>
      <w:r>
        <w:rPr>
          <w:rFonts w:hint="eastAsia" w:ascii="仿宋_GB2312" w:hAnsi="仿宋_GB2312" w:eastAsia="仿宋_GB2312" w:cs="仿宋_GB2312"/>
          <w:b w:val="0"/>
          <w:bCs/>
          <w:kern w:val="2"/>
          <w:sz w:val="32"/>
          <w:szCs w:val="32"/>
          <w:lang w:val="en-US" w:eastAsia="zh-CN" w:bidi="ar-SA"/>
        </w:rPr>
        <w:t>支出513.00万元。</w:t>
      </w:r>
    </w:p>
    <w:p>
      <w:pPr>
        <w:pStyle w:val="2"/>
        <w:pageBreakBefore w:val="0"/>
        <w:widowControl w:val="0"/>
        <w:kinsoku/>
        <w:wordWrap/>
        <w:overflowPunct/>
        <w:topLinePunct w:val="0"/>
        <w:autoSpaceDE/>
        <w:autoSpaceDN/>
        <w:bidi w:val="0"/>
        <w:adjustRightInd/>
        <w:snapToGrid/>
        <w:spacing w:before="0" w:beforeLines="0" w:after="0" w:afterLines="0" w:line="576" w:lineRule="exact"/>
        <w:ind w:firstLine="642" w:firstLineChars="200"/>
        <w:textAlignment w:val="auto"/>
        <w:rPr>
          <w:rFonts w:hint="eastAsia"/>
          <w:lang w:val="en-US" w:eastAsia="zh-CN"/>
        </w:rPr>
      </w:pPr>
      <w:r>
        <w:rPr>
          <w:rFonts w:hint="eastAsia" w:ascii="仿宋_GB2312" w:hAnsi="仿宋_GB2312" w:eastAsia="仿宋_GB2312" w:cs="仿宋_GB2312"/>
          <w:b/>
          <w:bCs w:val="0"/>
          <w:kern w:val="2"/>
          <w:sz w:val="32"/>
          <w:szCs w:val="32"/>
          <w:lang w:val="en-US" w:eastAsia="zh-CN" w:bidi="ar-SA"/>
        </w:rPr>
        <w:t>9.社会保障和就业支出（类） 就业补助（款）促进创业补贴公益性岗位补贴（项）</w:t>
      </w:r>
      <w:r>
        <w:rPr>
          <w:rFonts w:hint="eastAsia" w:ascii="仿宋_GB2312" w:hAnsi="仿宋_GB2312" w:eastAsia="仿宋_GB2312" w:cs="仿宋_GB2312"/>
          <w:b w:val="0"/>
          <w:bCs/>
          <w:kern w:val="2"/>
          <w:sz w:val="32"/>
          <w:szCs w:val="32"/>
          <w:lang w:val="en-US" w:eastAsia="zh-CN" w:bidi="ar-SA"/>
        </w:rPr>
        <w:t>支出640.07万元。</w:t>
      </w:r>
    </w:p>
    <w:p>
      <w:pPr>
        <w:pageBreakBefore w:val="0"/>
        <w:widowControl w:val="0"/>
        <w:numPr>
          <w:ilvl w:val="0"/>
          <w:numId w:val="0"/>
        </w:numPr>
        <w:kinsoku/>
        <w:wordWrap/>
        <w:overflowPunct/>
        <w:topLinePunct w:val="0"/>
        <w:autoSpaceDE/>
        <w:autoSpaceDN/>
        <w:bidi w:val="0"/>
        <w:adjustRightInd/>
        <w:snapToGrid/>
        <w:spacing w:line="576" w:lineRule="exact"/>
        <w:ind w:leftChars="0" w:firstLine="642"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bCs w:val="0"/>
          <w:sz w:val="32"/>
          <w:szCs w:val="32"/>
          <w:lang w:val="en-US" w:eastAsia="zh-CN"/>
        </w:rPr>
        <w:t>10.社会保障和</w:t>
      </w:r>
      <w:r>
        <w:rPr>
          <w:rFonts w:hint="eastAsia" w:ascii="仿宋_GB2312" w:hAnsi="仿宋_GB2312" w:eastAsia="仿宋_GB2312" w:cs="仿宋_GB2312"/>
          <w:b/>
          <w:sz w:val="32"/>
          <w:szCs w:val="32"/>
          <w:lang w:val="en-US" w:eastAsia="zh-CN"/>
        </w:rPr>
        <w:t>就业支出（类） 就业补助（款）其他就业补助支出（项）</w:t>
      </w:r>
      <w:r>
        <w:rPr>
          <w:rFonts w:hint="eastAsia" w:ascii="仿宋_GB2312" w:hAnsi="仿宋_GB2312" w:eastAsia="仿宋_GB2312" w:cs="仿宋_GB2312"/>
          <w:b w:val="0"/>
          <w:bCs/>
          <w:sz w:val="32"/>
          <w:szCs w:val="32"/>
          <w:lang w:val="en-US" w:eastAsia="zh-CN"/>
        </w:rPr>
        <w:t>支出733.56万元。</w:t>
      </w:r>
    </w:p>
    <w:p>
      <w:pPr>
        <w:pageBreakBefore w:val="0"/>
        <w:widowControl w:val="0"/>
        <w:numPr>
          <w:ilvl w:val="0"/>
          <w:numId w:val="0"/>
        </w:numPr>
        <w:kinsoku/>
        <w:wordWrap/>
        <w:overflowPunct/>
        <w:topLinePunct w:val="0"/>
        <w:autoSpaceDE/>
        <w:autoSpaceDN/>
        <w:bidi w:val="0"/>
        <w:adjustRightInd/>
        <w:snapToGrid/>
        <w:spacing w:line="576" w:lineRule="exact"/>
        <w:ind w:leftChars="0"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lang w:val="en-US" w:eastAsia="zh-CN"/>
        </w:rPr>
        <w:t>11.</w:t>
      </w:r>
      <w:r>
        <w:rPr>
          <w:rFonts w:hint="eastAsia" w:ascii="仿宋_GB2312" w:hAnsi="仿宋_GB2312" w:eastAsia="仿宋_GB2312" w:cs="仿宋_GB2312"/>
          <w:b/>
          <w:sz w:val="32"/>
          <w:szCs w:val="32"/>
          <w:lang w:eastAsia="zh-CN"/>
        </w:rPr>
        <w:t>社会保障和就业</w:t>
      </w:r>
      <w:r>
        <w:rPr>
          <w:rFonts w:hint="eastAsia" w:ascii="仿宋_GB2312" w:hAnsi="仿宋_GB2312" w:eastAsia="仿宋_GB2312" w:cs="仿宋_GB2312"/>
          <w:b/>
          <w:sz w:val="32"/>
          <w:szCs w:val="32"/>
        </w:rPr>
        <w:t>支出（类）抚恤（款）死亡抚恤（项）</w:t>
      </w:r>
      <w:r>
        <w:rPr>
          <w:rFonts w:hint="eastAsia" w:ascii="仿宋_GB2312" w:hAnsi="仿宋_GB2312" w:eastAsia="仿宋_GB2312" w:cs="仿宋_GB2312"/>
          <w:b w:val="0"/>
          <w:bCs/>
          <w:sz w:val="32"/>
          <w:szCs w:val="32"/>
          <w:lang w:eastAsia="zh-CN"/>
        </w:rPr>
        <w:t>支</w:t>
      </w:r>
      <w:r>
        <w:rPr>
          <w:rFonts w:hint="eastAsia" w:ascii="仿宋_GB2312" w:hAnsi="仿宋_GB2312" w:eastAsia="仿宋_GB2312" w:cs="仿宋_GB2312"/>
          <w:sz w:val="32"/>
          <w:szCs w:val="32"/>
        </w:rPr>
        <w:t>出</w:t>
      </w:r>
      <w:r>
        <w:rPr>
          <w:rFonts w:hint="eastAsia" w:ascii="仿宋_GB2312" w:hAnsi="仿宋_GB2312" w:eastAsia="仿宋_GB2312" w:cs="仿宋_GB2312"/>
          <w:b w:val="0"/>
          <w:bCs/>
          <w:sz w:val="32"/>
          <w:szCs w:val="32"/>
          <w:lang w:val="en-US" w:eastAsia="zh-CN"/>
        </w:rPr>
        <w:t>57.40</w:t>
      </w:r>
      <w:r>
        <w:rPr>
          <w:rFonts w:hint="eastAsia" w:ascii="仿宋_GB2312" w:hAnsi="仿宋_GB2312" w:eastAsia="仿宋_GB2312" w:cs="仿宋_GB2312"/>
          <w:b w:val="0"/>
          <w:bCs/>
          <w:sz w:val="32"/>
          <w:szCs w:val="32"/>
        </w:rPr>
        <w:t>万</w:t>
      </w:r>
      <w:r>
        <w:rPr>
          <w:rFonts w:hint="eastAsia" w:ascii="仿宋_GB2312" w:hAnsi="仿宋_GB2312" w:eastAsia="仿宋_GB2312" w:cs="仿宋_GB2312"/>
          <w:sz w:val="32"/>
          <w:szCs w:val="32"/>
        </w:rPr>
        <w:t>元。</w:t>
      </w:r>
    </w:p>
    <w:p>
      <w:pPr>
        <w:pageBreakBefore w:val="0"/>
        <w:widowControl w:val="0"/>
        <w:numPr>
          <w:ilvl w:val="0"/>
          <w:numId w:val="0"/>
        </w:numPr>
        <w:kinsoku/>
        <w:wordWrap/>
        <w:overflowPunct/>
        <w:topLinePunct w:val="0"/>
        <w:autoSpaceDE/>
        <w:autoSpaceDN/>
        <w:bidi w:val="0"/>
        <w:adjustRightInd/>
        <w:snapToGrid/>
        <w:spacing w:line="576" w:lineRule="exact"/>
        <w:ind w:leftChars="0"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lang w:val="en-US" w:eastAsia="zh-CN"/>
        </w:rPr>
        <w:t>12.</w:t>
      </w:r>
      <w:r>
        <w:rPr>
          <w:rFonts w:hint="eastAsia" w:ascii="仿宋_GB2312" w:hAnsi="仿宋_GB2312" w:eastAsia="仿宋_GB2312" w:cs="仿宋_GB2312"/>
          <w:b/>
          <w:sz w:val="32"/>
          <w:szCs w:val="32"/>
          <w:lang w:eastAsia="zh-CN"/>
        </w:rPr>
        <w:t>社会保障和就业</w:t>
      </w:r>
      <w:r>
        <w:rPr>
          <w:rFonts w:hint="eastAsia" w:ascii="仿宋_GB2312" w:hAnsi="仿宋_GB2312" w:eastAsia="仿宋_GB2312" w:cs="仿宋_GB2312"/>
          <w:b/>
          <w:sz w:val="32"/>
          <w:szCs w:val="32"/>
        </w:rPr>
        <w:t>支出（类）财政对基本养老保险基金的补助（款） 财政对城乡居民基本养老保险基金的补助（项）</w:t>
      </w:r>
      <w:r>
        <w:rPr>
          <w:rFonts w:hint="eastAsia" w:ascii="仿宋_GB2312" w:hAnsi="仿宋_GB2312" w:eastAsia="仿宋_GB2312" w:cs="仿宋_GB2312"/>
          <w:sz w:val="32"/>
          <w:szCs w:val="32"/>
        </w:rPr>
        <w:t>支出</w:t>
      </w:r>
      <w:r>
        <w:rPr>
          <w:rFonts w:hint="eastAsia" w:ascii="仿宋_GB2312" w:hAnsi="仿宋_GB2312" w:eastAsia="仿宋_GB2312" w:cs="仿宋_GB2312"/>
          <w:b w:val="0"/>
          <w:bCs/>
          <w:sz w:val="32"/>
          <w:szCs w:val="32"/>
          <w:lang w:val="en-US" w:eastAsia="zh-CN"/>
        </w:rPr>
        <w:t>26.00</w:t>
      </w:r>
      <w:r>
        <w:rPr>
          <w:rFonts w:hint="eastAsia" w:ascii="仿宋_GB2312" w:hAnsi="仿宋_GB2312" w:eastAsia="仿宋_GB2312" w:cs="仿宋_GB2312"/>
          <w:b w:val="0"/>
          <w:bCs/>
          <w:sz w:val="32"/>
          <w:szCs w:val="32"/>
        </w:rPr>
        <w:t>万</w:t>
      </w:r>
      <w:r>
        <w:rPr>
          <w:rFonts w:hint="eastAsia" w:ascii="仿宋_GB2312" w:hAnsi="仿宋_GB2312" w:eastAsia="仿宋_GB2312" w:cs="仿宋_GB2312"/>
          <w:sz w:val="32"/>
          <w:szCs w:val="32"/>
        </w:rPr>
        <w:t>元。</w:t>
      </w:r>
    </w:p>
    <w:p>
      <w:pPr>
        <w:pageBreakBefore w:val="0"/>
        <w:widowControl w:val="0"/>
        <w:numPr>
          <w:ilvl w:val="0"/>
          <w:numId w:val="0"/>
        </w:numPr>
        <w:kinsoku/>
        <w:wordWrap/>
        <w:overflowPunct/>
        <w:topLinePunct w:val="0"/>
        <w:autoSpaceDE/>
        <w:autoSpaceDN/>
        <w:bidi w:val="0"/>
        <w:adjustRightInd/>
        <w:snapToGrid/>
        <w:spacing w:line="576" w:lineRule="exact"/>
        <w:ind w:firstLine="642" w:firstLineChars="200"/>
        <w:textAlignment w:val="auto"/>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sz w:val="32"/>
          <w:szCs w:val="32"/>
          <w:lang w:val="en-US" w:eastAsia="zh-CN"/>
        </w:rPr>
        <w:t>13.</w:t>
      </w:r>
      <w:r>
        <w:rPr>
          <w:rFonts w:hint="eastAsia" w:ascii="仿宋_GB2312" w:hAnsi="仿宋_GB2312" w:eastAsia="仿宋_GB2312" w:cs="仿宋_GB2312"/>
          <w:b/>
          <w:sz w:val="32"/>
          <w:szCs w:val="32"/>
          <w:lang w:eastAsia="zh-CN"/>
        </w:rPr>
        <w:t>卫生健康支出（类）行政事业单位医疗（款） 行政单位医疗（项）</w:t>
      </w:r>
      <w:r>
        <w:rPr>
          <w:rFonts w:hint="eastAsia" w:ascii="仿宋_GB2312" w:hAnsi="仿宋_GB2312" w:eastAsia="仿宋_GB2312" w:cs="仿宋_GB2312"/>
          <w:b w:val="0"/>
          <w:bCs/>
          <w:sz w:val="32"/>
          <w:szCs w:val="32"/>
          <w:lang w:eastAsia="zh-CN"/>
        </w:rPr>
        <w:t>支出</w:t>
      </w:r>
      <w:r>
        <w:rPr>
          <w:rFonts w:hint="eastAsia" w:ascii="仿宋_GB2312" w:hAnsi="仿宋_GB2312" w:eastAsia="仿宋_GB2312" w:cs="仿宋_GB2312"/>
          <w:b w:val="0"/>
          <w:bCs/>
          <w:sz w:val="32"/>
          <w:szCs w:val="32"/>
          <w:lang w:val="en-US" w:eastAsia="zh-CN"/>
        </w:rPr>
        <w:t>27.07</w:t>
      </w:r>
      <w:r>
        <w:rPr>
          <w:rFonts w:hint="eastAsia" w:ascii="仿宋_GB2312" w:hAnsi="仿宋_GB2312" w:eastAsia="仿宋_GB2312" w:cs="仿宋_GB2312"/>
          <w:b w:val="0"/>
          <w:bCs/>
          <w:sz w:val="32"/>
          <w:szCs w:val="32"/>
          <w:lang w:eastAsia="zh-CN"/>
        </w:rPr>
        <w:t>万元。</w:t>
      </w:r>
    </w:p>
    <w:p>
      <w:pPr>
        <w:pStyle w:val="2"/>
        <w:pageBreakBefore w:val="0"/>
        <w:widowControl w:val="0"/>
        <w:kinsoku/>
        <w:wordWrap/>
        <w:overflowPunct/>
        <w:topLinePunct w:val="0"/>
        <w:autoSpaceDE/>
        <w:autoSpaceDN/>
        <w:bidi w:val="0"/>
        <w:adjustRightInd/>
        <w:snapToGrid/>
        <w:spacing w:before="0" w:beforeLines="0" w:after="0" w:afterLines="0" w:line="576" w:lineRule="exact"/>
        <w:ind w:firstLine="642" w:firstLineChars="200"/>
        <w:textAlignment w:val="auto"/>
        <w:rPr>
          <w:rFonts w:hint="eastAsia"/>
          <w:lang w:eastAsia="zh-CN"/>
        </w:rPr>
      </w:pPr>
      <w:r>
        <w:rPr>
          <w:rFonts w:hint="eastAsia" w:ascii="仿宋_GB2312" w:hAnsi="仿宋_GB2312" w:eastAsia="仿宋_GB2312" w:cs="仿宋_GB2312"/>
          <w:b/>
          <w:sz w:val="32"/>
          <w:szCs w:val="32"/>
          <w:lang w:val="en-US" w:eastAsia="zh-CN"/>
        </w:rPr>
        <w:t>14.</w:t>
      </w:r>
      <w:r>
        <w:rPr>
          <w:rFonts w:hint="eastAsia" w:ascii="仿宋_GB2312" w:hAnsi="仿宋_GB2312" w:eastAsia="仿宋_GB2312" w:cs="仿宋_GB2312"/>
          <w:b/>
          <w:sz w:val="32"/>
          <w:szCs w:val="32"/>
          <w:lang w:eastAsia="zh-CN"/>
        </w:rPr>
        <w:t>卫生健康支出（类）行政事业单位医疗（款） 公务员医疗补助（项）</w:t>
      </w:r>
      <w:r>
        <w:rPr>
          <w:rFonts w:hint="eastAsia" w:ascii="仿宋_GB2312" w:hAnsi="仿宋_GB2312" w:eastAsia="仿宋_GB2312" w:cs="仿宋_GB2312"/>
          <w:b w:val="0"/>
          <w:bCs/>
          <w:sz w:val="32"/>
          <w:szCs w:val="32"/>
          <w:lang w:eastAsia="zh-CN"/>
        </w:rPr>
        <w:t>支出</w:t>
      </w:r>
      <w:r>
        <w:rPr>
          <w:rFonts w:hint="eastAsia" w:ascii="仿宋_GB2312" w:hAnsi="仿宋_GB2312" w:eastAsia="仿宋_GB2312" w:cs="仿宋_GB2312"/>
          <w:b w:val="0"/>
          <w:bCs/>
          <w:sz w:val="32"/>
          <w:szCs w:val="32"/>
          <w:lang w:val="en-US" w:eastAsia="zh-CN"/>
        </w:rPr>
        <w:t>7.03</w:t>
      </w:r>
      <w:r>
        <w:rPr>
          <w:rFonts w:hint="eastAsia" w:ascii="仿宋_GB2312" w:hAnsi="仿宋_GB2312" w:eastAsia="仿宋_GB2312" w:cs="仿宋_GB2312"/>
          <w:b w:val="0"/>
          <w:bCs/>
          <w:sz w:val="32"/>
          <w:szCs w:val="32"/>
          <w:lang w:eastAsia="zh-CN"/>
        </w:rPr>
        <w:t>万元。</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2" w:firstLineChars="200"/>
        <w:textAlignment w:val="auto"/>
        <w:rPr>
          <w:rFonts w:hint="eastAsia" w:ascii="仿宋_GB2312" w:hAnsi="仿宋_GB2312" w:eastAsia="仿宋_GB2312" w:cs="仿宋_GB2312"/>
          <w:b/>
          <w:sz w:val="32"/>
          <w:szCs w:val="32"/>
          <w:lang w:val="en-US" w:eastAsia="zh-CN"/>
        </w:rPr>
      </w:pPr>
      <w:r>
        <w:rPr>
          <w:rFonts w:hint="eastAsia" w:ascii="仿宋_GB2312" w:hAnsi="仿宋_GB2312" w:eastAsia="仿宋_GB2312" w:cs="仿宋_GB2312"/>
          <w:b/>
          <w:sz w:val="32"/>
          <w:szCs w:val="32"/>
          <w:lang w:val="en-US" w:eastAsia="zh-CN"/>
        </w:rPr>
        <w:t>15.</w:t>
      </w:r>
      <w:r>
        <w:rPr>
          <w:rFonts w:hint="eastAsia" w:ascii="仿宋_GB2312" w:hAnsi="仿宋_GB2312" w:eastAsia="仿宋_GB2312" w:cs="仿宋_GB2312"/>
          <w:b/>
          <w:sz w:val="32"/>
          <w:szCs w:val="32"/>
          <w:lang w:eastAsia="zh-CN"/>
        </w:rPr>
        <w:t>住房保障支出（类）住房改革支出（款） 住房公积金（项）</w:t>
      </w:r>
      <w:r>
        <w:rPr>
          <w:rFonts w:hint="eastAsia" w:ascii="仿宋_GB2312" w:hAnsi="仿宋_GB2312" w:eastAsia="仿宋_GB2312" w:cs="仿宋_GB2312"/>
          <w:b w:val="0"/>
          <w:bCs/>
          <w:sz w:val="32"/>
          <w:szCs w:val="32"/>
          <w:lang w:eastAsia="zh-CN"/>
        </w:rPr>
        <w:t>支出</w:t>
      </w:r>
      <w:r>
        <w:rPr>
          <w:rFonts w:hint="eastAsia" w:ascii="仿宋_GB2312" w:hAnsi="仿宋_GB2312" w:eastAsia="仿宋_GB2312" w:cs="仿宋_GB2312"/>
          <w:b w:val="0"/>
          <w:bCs/>
          <w:sz w:val="32"/>
          <w:szCs w:val="32"/>
          <w:lang w:val="en-US" w:eastAsia="zh-CN"/>
        </w:rPr>
        <w:t>45.44万元。</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2" w:firstLineChars="200"/>
        <w:textAlignment w:val="auto"/>
        <w:rPr>
          <w:rFonts w:hint="eastAsia" w:ascii="仿宋_GB2312" w:hAnsi="仿宋_GB2312" w:eastAsia="仿宋_GB2312" w:cs="仿宋_GB2312"/>
          <w:b/>
          <w:sz w:val="32"/>
          <w:szCs w:val="32"/>
          <w:lang w:eastAsia="zh-CN"/>
        </w:rPr>
      </w:pPr>
      <w:r>
        <w:rPr>
          <w:rFonts w:hint="eastAsia" w:ascii="仿宋_GB2312" w:hAnsi="仿宋_GB2312" w:eastAsia="仿宋_GB2312" w:cs="仿宋_GB2312"/>
          <w:b/>
          <w:sz w:val="32"/>
          <w:szCs w:val="32"/>
          <w:lang w:val="en-US" w:eastAsia="zh-CN"/>
        </w:rPr>
        <w:t>16.</w:t>
      </w:r>
      <w:r>
        <w:rPr>
          <w:rFonts w:hint="eastAsia" w:ascii="仿宋_GB2312" w:hAnsi="仿宋_GB2312" w:eastAsia="仿宋_GB2312" w:cs="仿宋_GB2312"/>
          <w:b/>
          <w:sz w:val="32"/>
          <w:szCs w:val="32"/>
          <w:lang w:eastAsia="zh-CN"/>
        </w:rPr>
        <w:t>住房保障支出（类）住房改革支出（款）购房补贴（项）</w:t>
      </w:r>
      <w:r>
        <w:rPr>
          <w:rFonts w:hint="eastAsia" w:ascii="仿宋_GB2312" w:hAnsi="仿宋_GB2312" w:eastAsia="仿宋_GB2312" w:cs="仿宋_GB2312"/>
          <w:b w:val="0"/>
          <w:bCs/>
          <w:sz w:val="32"/>
          <w:szCs w:val="32"/>
          <w:lang w:eastAsia="zh-CN"/>
        </w:rPr>
        <w:t>支出</w:t>
      </w:r>
      <w:r>
        <w:rPr>
          <w:rFonts w:hint="eastAsia" w:ascii="仿宋_GB2312" w:hAnsi="仿宋_GB2312" w:eastAsia="仿宋_GB2312" w:cs="仿宋_GB2312"/>
          <w:b w:val="0"/>
          <w:bCs/>
          <w:sz w:val="32"/>
          <w:szCs w:val="32"/>
          <w:lang w:val="en-US" w:eastAsia="zh-CN"/>
        </w:rPr>
        <w:t>20.54</w:t>
      </w:r>
      <w:r>
        <w:rPr>
          <w:rFonts w:hint="eastAsia" w:ascii="仿宋_GB2312" w:hAnsi="仿宋_GB2312" w:eastAsia="仿宋_GB2312" w:cs="仿宋_GB2312"/>
          <w:b w:val="0"/>
          <w:bCs/>
          <w:sz w:val="32"/>
          <w:szCs w:val="32"/>
          <w:lang w:eastAsia="zh-CN"/>
        </w:rPr>
        <w:t>万元。</w:t>
      </w:r>
    </w:p>
    <w:p>
      <w:pPr>
        <w:pageBreakBefore w:val="0"/>
        <w:numPr>
          <w:ilvl w:val="0"/>
          <w:numId w:val="0"/>
        </w:numPr>
        <w:kinsoku/>
        <w:wordWrap/>
        <w:overflowPunct/>
        <w:topLinePunct w:val="0"/>
        <w:autoSpaceDE/>
        <w:bidi w:val="0"/>
        <w:adjustRightInd/>
        <w:snapToGrid/>
        <w:spacing w:line="576" w:lineRule="exact"/>
        <w:ind w:left="630" w:leftChars="0"/>
        <w:textAlignment w:val="auto"/>
        <w:outlineLvl w:val="1"/>
        <w:rPr>
          <w:rFonts w:hint="eastAsia" w:ascii="楷体_GB2312" w:hAnsi="楷体_GB2312" w:eastAsia="楷体_GB2312" w:cs="楷体_GB2312"/>
          <w:b w:val="0"/>
          <w:bCs/>
          <w:sz w:val="32"/>
          <w:szCs w:val="32"/>
        </w:rPr>
      </w:pPr>
      <w:bookmarkStart w:id="17" w:name="_Toc23443"/>
      <w:bookmarkStart w:id="18" w:name="_Toc25472"/>
      <w:r>
        <w:rPr>
          <w:rFonts w:hint="eastAsia" w:ascii="楷体_GB2312" w:hAnsi="楷体_GB2312" w:eastAsia="楷体_GB2312" w:cs="楷体_GB2312"/>
          <w:b w:val="0"/>
          <w:bCs/>
          <w:sz w:val="32"/>
          <w:szCs w:val="32"/>
          <w:lang w:eastAsia="zh-CN"/>
        </w:rPr>
        <w:t>六、</w:t>
      </w:r>
      <w:r>
        <w:rPr>
          <w:rFonts w:hint="eastAsia" w:ascii="楷体_GB2312" w:hAnsi="楷体_GB2312" w:eastAsia="楷体_GB2312" w:cs="楷体_GB2312"/>
          <w:b w:val="0"/>
          <w:bCs/>
          <w:sz w:val="32"/>
          <w:szCs w:val="32"/>
        </w:rPr>
        <w:t>一般公共预算财政拨款基本支出决算情况说明</w:t>
      </w:r>
      <w:bookmarkEnd w:id="17"/>
      <w:bookmarkEnd w:id="18"/>
    </w:p>
    <w:p>
      <w:pPr>
        <w:pageBreakBefore w:val="0"/>
        <w:kinsoku/>
        <w:wordWrap/>
        <w:overflowPunct/>
        <w:topLinePunct w:val="0"/>
        <w:autoSpaceDE/>
        <w:bidi w:val="0"/>
        <w:adjustRightInd/>
        <w:snapToGrid/>
        <w:spacing w:line="576" w:lineRule="exact"/>
        <w:ind w:firstLine="640" w:firstLineChars="200"/>
        <w:textAlignment w:val="auto"/>
        <w:rPr>
          <w:rFonts w:hint="eastAsia" w:ascii="仿宋" w:hAnsi="仿宋" w:eastAsia="仿宋"/>
          <w:sz w:val="32"/>
          <w:szCs w:val="32"/>
        </w:rPr>
      </w:pPr>
      <w:r>
        <w:rPr>
          <w:rFonts w:hint="eastAsia" w:ascii="仿宋_GB2312" w:hAnsi="仿宋_GB2312" w:eastAsia="仿宋_GB2312" w:cs="仿宋_GB2312"/>
          <w:sz w:val="32"/>
          <w:szCs w:val="32"/>
          <w:lang w:val="en-US" w:eastAsia="zh-CN"/>
        </w:rPr>
        <w:t>2024</w:t>
      </w:r>
      <w:r>
        <w:rPr>
          <w:rFonts w:hint="eastAsia" w:ascii="仿宋_GB2312" w:hAnsi="仿宋_GB2312" w:eastAsia="仿宋_GB2312" w:cs="仿宋_GB2312"/>
          <w:sz w:val="32"/>
          <w:szCs w:val="32"/>
        </w:rPr>
        <w:t>年度财政拨款基本支出</w:t>
      </w:r>
      <w:r>
        <w:rPr>
          <w:rFonts w:hint="eastAsia" w:ascii="仿宋_GB2312" w:hAnsi="仿宋_GB2312" w:eastAsia="仿宋_GB2312" w:cs="仿宋_GB2312"/>
          <w:sz w:val="32"/>
          <w:szCs w:val="32"/>
          <w:lang w:val="en-US" w:eastAsia="zh-CN"/>
        </w:rPr>
        <w:t>572.77</w:t>
      </w:r>
      <w:r>
        <w:rPr>
          <w:rFonts w:hint="eastAsia" w:ascii="仿宋_GB2312" w:hAnsi="仿宋_GB2312" w:eastAsia="仿宋_GB2312" w:cs="仿宋_GB2312"/>
          <w:sz w:val="32"/>
          <w:szCs w:val="32"/>
        </w:rPr>
        <w:t>万元，其中：人员经费550.34万元，主要包括基本工资77.08</w:t>
      </w:r>
      <w:r>
        <w:rPr>
          <w:rFonts w:hint="eastAsia" w:ascii="仿宋_GB2312" w:hAnsi="仿宋_GB2312" w:eastAsia="仿宋_GB2312" w:cs="仿宋_GB2312"/>
          <w:sz w:val="32"/>
          <w:szCs w:val="32"/>
          <w:lang w:val="en-US" w:eastAsia="zh-CN"/>
        </w:rPr>
        <w:t>万元</w:t>
      </w:r>
      <w:r>
        <w:rPr>
          <w:rFonts w:hint="eastAsia" w:ascii="仿宋_GB2312" w:hAnsi="仿宋_GB2312" w:eastAsia="仿宋_GB2312" w:cs="仿宋_GB2312"/>
          <w:sz w:val="32"/>
          <w:szCs w:val="32"/>
        </w:rPr>
        <w:t>、津贴补贴298.52</w:t>
      </w:r>
      <w:r>
        <w:rPr>
          <w:rFonts w:hint="eastAsia" w:ascii="仿宋_GB2312" w:hAnsi="仿宋_GB2312" w:eastAsia="仿宋_GB2312" w:cs="仿宋_GB2312"/>
          <w:sz w:val="32"/>
          <w:szCs w:val="32"/>
          <w:lang w:val="en-US" w:eastAsia="zh-CN"/>
        </w:rPr>
        <w:t>万元</w:t>
      </w:r>
      <w:r>
        <w:rPr>
          <w:rFonts w:hint="eastAsia" w:ascii="仿宋_GB2312" w:hAnsi="仿宋_GB2312" w:eastAsia="仿宋_GB2312" w:cs="仿宋_GB2312"/>
          <w:sz w:val="32"/>
          <w:szCs w:val="32"/>
        </w:rPr>
        <w:t>、奖金30.26</w:t>
      </w:r>
      <w:r>
        <w:rPr>
          <w:rFonts w:hint="eastAsia" w:ascii="仿宋_GB2312" w:hAnsi="仿宋_GB2312" w:eastAsia="仿宋_GB2312" w:cs="仿宋_GB2312"/>
          <w:sz w:val="32"/>
          <w:szCs w:val="32"/>
          <w:lang w:val="en-US" w:eastAsia="zh-CN"/>
        </w:rPr>
        <w:t>万元</w:t>
      </w:r>
      <w:r>
        <w:rPr>
          <w:rFonts w:hint="eastAsia" w:ascii="仿宋_GB2312" w:hAnsi="仿宋_GB2312" w:eastAsia="仿宋_GB2312" w:cs="仿宋_GB2312"/>
          <w:sz w:val="32"/>
          <w:szCs w:val="32"/>
        </w:rPr>
        <w:t>、机关事业单位基本养老保险缴费56.25</w:t>
      </w:r>
      <w:r>
        <w:rPr>
          <w:rFonts w:hint="eastAsia" w:ascii="仿宋_GB2312" w:hAnsi="仿宋_GB2312" w:eastAsia="仿宋_GB2312" w:cs="仿宋_GB2312"/>
          <w:sz w:val="32"/>
          <w:szCs w:val="32"/>
          <w:lang w:val="en-US" w:eastAsia="zh-CN"/>
        </w:rPr>
        <w:t>万元</w:t>
      </w:r>
      <w:r>
        <w:rPr>
          <w:rFonts w:hint="eastAsia" w:ascii="仿宋_GB2312" w:hAnsi="仿宋_GB2312" w:eastAsia="仿宋_GB2312" w:cs="仿宋_GB2312"/>
          <w:sz w:val="32"/>
          <w:szCs w:val="32"/>
        </w:rPr>
        <w:t>、职工基本医疗保险缴费27.07</w:t>
      </w:r>
      <w:r>
        <w:rPr>
          <w:rFonts w:hint="eastAsia" w:ascii="仿宋_GB2312" w:hAnsi="仿宋_GB2312" w:eastAsia="仿宋_GB2312" w:cs="仿宋_GB2312"/>
          <w:sz w:val="32"/>
          <w:szCs w:val="32"/>
          <w:lang w:val="en-US" w:eastAsia="zh-CN"/>
        </w:rPr>
        <w:t>万元</w:t>
      </w:r>
      <w:r>
        <w:rPr>
          <w:rFonts w:hint="eastAsia" w:ascii="仿宋_GB2312" w:hAnsi="仿宋_GB2312" w:eastAsia="仿宋_GB2312" w:cs="仿宋_GB2312"/>
          <w:sz w:val="32"/>
          <w:szCs w:val="32"/>
        </w:rPr>
        <w:t>、公务员医疗补助缴费7.03</w:t>
      </w:r>
      <w:r>
        <w:rPr>
          <w:rFonts w:hint="eastAsia" w:ascii="仿宋_GB2312" w:hAnsi="仿宋_GB2312" w:eastAsia="仿宋_GB2312" w:cs="仿宋_GB2312"/>
          <w:sz w:val="32"/>
          <w:szCs w:val="32"/>
          <w:lang w:val="en-US" w:eastAsia="zh-CN"/>
        </w:rPr>
        <w:t>万元</w:t>
      </w:r>
      <w:r>
        <w:rPr>
          <w:rFonts w:hint="eastAsia" w:ascii="仿宋_GB2312" w:hAnsi="仿宋_GB2312" w:eastAsia="仿宋_GB2312" w:cs="仿宋_GB2312"/>
          <w:sz w:val="32"/>
          <w:szCs w:val="32"/>
        </w:rPr>
        <w:t>、其他社会保障缴费5.08</w:t>
      </w:r>
      <w:r>
        <w:rPr>
          <w:rFonts w:hint="eastAsia" w:ascii="仿宋_GB2312" w:hAnsi="仿宋_GB2312" w:eastAsia="仿宋_GB2312" w:cs="仿宋_GB2312"/>
          <w:sz w:val="32"/>
          <w:szCs w:val="32"/>
          <w:lang w:val="en-US" w:eastAsia="zh-CN"/>
        </w:rPr>
        <w:t>万元</w:t>
      </w:r>
      <w:r>
        <w:rPr>
          <w:rFonts w:hint="eastAsia" w:ascii="仿宋_GB2312" w:hAnsi="仿宋_GB2312" w:eastAsia="仿宋_GB2312" w:cs="仿宋_GB2312"/>
          <w:sz w:val="32"/>
          <w:szCs w:val="32"/>
        </w:rPr>
        <w:t>、住房公积金45.44</w:t>
      </w:r>
      <w:r>
        <w:rPr>
          <w:rFonts w:hint="eastAsia" w:ascii="仿宋_GB2312" w:hAnsi="仿宋_GB2312" w:eastAsia="仿宋_GB2312" w:cs="仿宋_GB2312"/>
          <w:sz w:val="32"/>
          <w:szCs w:val="32"/>
          <w:lang w:val="en-US" w:eastAsia="zh-CN"/>
        </w:rPr>
        <w:t>万元</w:t>
      </w:r>
      <w:r>
        <w:rPr>
          <w:rFonts w:hint="eastAsia" w:ascii="仿宋_GB2312" w:hAnsi="仿宋_GB2312" w:eastAsia="仿宋_GB2312" w:cs="仿宋_GB2312"/>
          <w:sz w:val="32"/>
          <w:szCs w:val="32"/>
        </w:rPr>
        <w:t>、其他工资福利支出2.11</w:t>
      </w:r>
      <w:r>
        <w:rPr>
          <w:rFonts w:hint="eastAsia" w:ascii="仿宋_GB2312" w:hAnsi="仿宋_GB2312" w:eastAsia="仿宋_GB2312" w:cs="仿宋_GB2312"/>
          <w:sz w:val="32"/>
          <w:szCs w:val="32"/>
          <w:lang w:val="en-US" w:eastAsia="zh-CN"/>
        </w:rPr>
        <w:t>万元</w:t>
      </w:r>
      <w:r>
        <w:rPr>
          <w:rFonts w:hint="eastAsia" w:ascii="仿宋_GB2312" w:hAnsi="仿宋_GB2312" w:eastAsia="仿宋_GB2312" w:cs="仿宋_GB2312"/>
          <w:sz w:val="32"/>
          <w:szCs w:val="32"/>
        </w:rPr>
        <w:t>、其他对个人和家庭的补助1.50</w:t>
      </w:r>
      <w:r>
        <w:rPr>
          <w:rFonts w:hint="eastAsia" w:ascii="仿宋_GB2312" w:hAnsi="仿宋_GB2312" w:eastAsia="仿宋_GB2312" w:cs="仿宋_GB2312"/>
          <w:sz w:val="32"/>
          <w:szCs w:val="32"/>
          <w:lang w:val="en-US" w:eastAsia="zh-CN"/>
        </w:rPr>
        <w:t>万元、生活补助1.50万元</w:t>
      </w:r>
      <w:r>
        <w:rPr>
          <w:rFonts w:hint="eastAsia" w:ascii="仿宋_GB2312" w:hAnsi="仿宋_GB2312" w:eastAsia="仿宋_GB2312" w:cs="仿宋_GB2312"/>
          <w:sz w:val="32"/>
          <w:szCs w:val="32"/>
        </w:rPr>
        <w:t>等；公用经费支出22.43万元，主要包括办公费10.96</w:t>
      </w:r>
      <w:r>
        <w:rPr>
          <w:rFonts w:hint="eastAsia" w:ascii="仿宋_GB2312" w:hAnsi="仿宋_GB2312" w:eastAsia="仿宋_GB2312" w:cs="仿宋_GB2312"/>
          <w:sz w:val="32"/>
          <w:szCs w:val="32"/>
          <w:lang w:val="en-US" w:eastAsia="zh-CN"/>
        </w:rPr>
        <w:t>万元</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水</w:t>
      </w:r>
      <w:r>
        <w:rPr>
          <w:rFonts w:hint="eastAsia" w:ascii="仿宋_GB2312" w:hAnsi="仿宋_GB2312" w:eastAsia="仿宋_GB2312" w:cs="仿宋_GB2312"/>
          <w:sz w:val="32"/>
          <w:szCs w:val="32"/>
        </w:rPr>
        <w:t>费0.25</w:t>
      </w:r>
      <w:r>
        <w:rPr>
          <w:rFonts w:hint="eastAsia" w:ascii="仿宋_GB2312" w:hAnsi="仿宋_GB2312" w:eastAsia="仿宋_GB2312" w:cs="仿宋_GB2312"/>
          <w:sz w:val="32"/>
          <w:szCs w:val="32"/>
          <w:lang w:val="en-US" w:eastAsia="zh-CN"/>
        </w:rPr>
        <w:t>万元</w:t>
      </w:r>
      <w:r>
        <w:rPr>
          <w:rFonts w:hint="eastAsia" w:ascii="仿宋_GB2312" w:hAnsi="仿宋_GB2312" w:eastAsia="仿宋_GB2312" w:cs="仿宋_GB2312"/>
          <w:sz w:val="32"/>
          <w:szCs w:val="32"/>
        </w:rPr>
        <w:t>、差旅费1.33</w:t>
      </w:r>
      <w:r>
        <w:rPr>
          <w:rFonts w:hint="eastAsia" w:ascii="仿宋_GB2312" w:hAnsi="仿宋_GB2312" w:eastAsia="仿宋_GB2312" w:cs="仿宋_GB2312"/>
          <w:sz w:val="32"/>
          <w:szCs w:val="32"/>
          <w:lang w:val="en-US" w:eastAsia="zh-CN"/>
        </w:rPr>
        <w:t>万元</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 xml:space="preserve">  其他商品和服务支出2.55</w:t>
      </w:r>
      <w:r>
        <w:rPr>
          <w:rFonts w:hint="eastAsia" w:ascii="仿宋_GB2312" w:hAnsi="仿宋_GB2312" w:eastAsia="仿宋_GB2312" w:cs="仿宋_GB2312"/>
          <w:sz w:val="32"/>
          <w:szCs w:val="32"/>
          <w:lang w:val="en-US" w:eastAsia="zh-CN"/>
        </w:rPr>
        <w:t>万元</w:t>
      </w:r>
      <w:r>
        <w:rPr>
          <w:rFonts w:hint="eastAsia" w:ascii="仿宋_GB2312" w:hAnsi="仿宋_GB2312" w:eastAsia="仿宋_GB2312" w:cs="仿宋_GB2312"/>
          <w:sz w:val="32"/>
          <w:szCs w:val="32"/>
        </w:rPr>
        <w:t>、工会经费7.34</w:t>
      </w:r>
      <w:r>
        <w:rPr>
          <w:rFonts w:hint="eastAsia" w:ascii="仿宋_GB2312" w:hAnsi="仿宋_GB2312" w:eastAsia="仿宋_GB2312" w:cs="仿宋_GB2312"/>
          <w:sz w:val="32"/>
          <w:szCs w:val="32"/>
          <w:lang w:val="en-US" w:eastAsia="zh-CN"/>
        </w:rPr>
        <w:t>万元</w:t>
      </w:r>
      <w:r>
        <w:rPr>
          <w:rFonts w:hint="eastAsia" w:ascii="仿宋_GB2312" w:hAnsi="仿宋_GB2312" w:eastAsia="仿宋_GB2312" w:cs="仿宋_GB2312"/>
          <w:sz w:val="32"/>
          <w:szCs w:val="32"/>
        </w:rPr>
        <w:t>。</w:t>
      </w:r>
    </w:p>
    <w:p>
      <w:pPr>
        <w:pageBreakBefore w:val="0"/>
        <w:numPr>
          <w:ilvl w:val="0"/>
          <w:numId w:val="0"/>
        </w:numPr>
        <w:kinsoku/>
        <w:wordWrap/>
        <w:overflowPunct/>
        <w:topLinePunct w:val="0"/>
        <w:autoSpaceDE/>
        <w:bidi w:val="0"/>
        <w:adjustRightInd/>
        <w:snapToGrid/>
        <w:spacing w:line="576" w:lineRule="exact"/>
        <w:ind w:left="630" w:leftChars="0"/>
        <w:textAlignment w:val="auto"/>
        <w:outlineLvl w:val="1"/>
        <w:rPr>
          <w:rFonts w:hint="eastAsia" w:ascii="楷体_GB2312" w:hAnsi="楷体_GB2312" w:eastAsia="楷体_GB2312" w:cs="楷体_GB2312"/>
          <w:b w:val="0"/>
          <w:bCs/>
          <w:sz w:val="32"/>
          <w:szCs w:val="32"/>
          <w:lang w:eastAsia="zh-CN"/>
        </w:rPr>
      </w:pPr>
      <w:bookmarkStart w:id="19" w:name="_Toc2845"/>
      <w:bookmarkStart w:id="20" w:name="_Toc1211"/>
      <w:r>
        <w:rPr>
          <w:rFonts w:hint="eastAsia" w:ascii="楷体_GB2312" w:hAnsi="楷体_GB2312" w:eastAsia="楷体_GB2312" w:cs="楷体_GB2312"/>
          <w:b w:val="0"/>
          <w:bCs/>
          <w:sz w:val="32"/>
          <w:szCs w:val="32"/>
          <w:lang w:eastAsia="zh-CN"/>
        </w:rPr>
        <w:t>七、政府性基金预算财政拨款支出决算</w:t>
      </w:r>
      <w:r>
        <w:rPr>
          <w:rFonts w:hint="eastAsia" w:ascii="楷体_GB2312" w:hAnsi="楷体_GB2312" w:eastAsia="楷体_GB2312" w:cs="楷体_GB2312"/>
          <w:b w:val="0"/>
          <w:bCs/>
          <w:sz w:val="32"/>
          <w:szCs w:val="32"/>
          <w:lang w:val="en-US" w:eastAsia="zh-CN"/>
        </w:rPr>
        <w:t>情况说明</w:t>
      </w:r>
      <w:bookmarkEnd w:id="19"/>
    </w:p>
    <w:p>
      <w:pPr>
        <w:pageBreakBefore w:val="0"/>
        <w:kinsoku/>
        <w:wordWrap/>
        <w:overflowPunct/>
        <w:topLinePunct w:val="0"/>
        <w:autoSpaceDE/>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无</w:t>
      </w:r>
    </w:p>
    <w:p>
      <w:pPr>
        <w:pageBreakBefore w:val="0"/>
        <w:numPr>
          <w:ilvl w:val="0"/>
          <w:numId w:val="2"/>
        </w:numPr>
        <w:kinsoku/>
        <w:wordWrap/>
        <w:overflowPunct/>
        <w:topLinePunct w:val="0"/>
        <w:autoSpaceDE/>
        <w:bidi w:val="0"/>
        <w:adjustRightInd/>
        <w:snapToGrid/>
        <w:spacing w:line="576" w:lineRule="exact"/>
        <w:ind w:left="630" w:leftChars="0"/>
        <w:textAlignment w:val="auto"/>
        <w:outlineLvl w:val="1"/>
        <w:rPr>
          <w:rFonts w:hint="eastAsia" w:ascii="楷体_GB2312" w:hAnsi="楷体_GB2312" w:eastAsia="楷体_GB2312" w:cs="楷体_GB2312"/>
          <w:b w:val="0"/>
          <w:bCs/>
          <w:kern w:val="2"/>
          <w:sz w:val="32"/>
          <w:szCs w:val="32"/>
          <w:lang w:val="en-US" w:eastAsia="zh-CN" w:bidi="ar-SA"/>
        </w:rPr>
      </w:pPr>
      <w:bookmarkStart w:id="21" w:name="_Toc12287"/>
      <w:r>
        <w:rPr>
          <w:rFonts w:hint="eastAsia" w:ascii="楷体_GB2312" w:hAnsi="楷体_GB2312" w:eastAsia="楷体_GB2312" w:cs="楷体_GB2312"/>
          <w:b w:val="0"/>
          <w:bCs/>
          <w:sz w:val="32"/>
          <w:szCs w:val="32"/>
          <w:lang w:eastAsia="zh-CN"/>
        </w:rPr>
        <w:t>国有资本经营预算财政拨款支出决</w:t>
      </w:r>
      <w:r>
        <w:rPr>
          <w:rFonts w:hint="eastAsia" w:ascii="楷体_GB2312" w:hAnsi="楷体_GB2312" w:eastAsia="楷体_GB2312" w:cs="楷体_GB2312"/>
          <w:b w:val="0"/>
          <w:bCs/>
          <w:sz w:val="32"/>
          <w:szCs w:val="32"/>
          <w:lang w:val="en-US" w:eastAsia="zh-CN"/>
        </w:rPr>
        <w:t>算情况说明</w:t>
      </w:r>
      <w:bookmarkEnd w:id="21"/>
    </w:p>
    <w:p>
      <w:pPr>
        <w:pageBreakBefore w:val="0"/>
        <w:kinsoku/>
        <w:wordWrap/>
        <w:overflowPunct/>
        <w:topLinePunct w:val="0"/>
        <w:autoSpaceDE/>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无</w:t>
      </w:r>
    </w:p>
    <w:p>
      <w:pPr>
        <w:pageBreakBefore w:val="0"/>
        <w:numPr>
          <w:ilvl w:val="0"/>
          <w:numId w:val="2"/>
        </w:numPr>
        <w:kinsoku/>
        <w:wordWrap/>
        <w:overflowPunct/>
        <w:topLinePunct w:val="0"/>
        <w:autoSpaceDE/>
        <w:bidi w:val="0"/>
        <w:adjustRightInd/>
        <w:snapToGrid/>
        <w:spacing w:line="576" w:lineRule="exact"/>
        <w:ind w:left="630" w:leftChars="0" w:firstLine="0" w:firstLineChars="0"/>
        <w:textAlignment w:val="auto"/>
        <w:outlineLvl w:val="1"/>
        <w:rPr>
          <w:rFonts w:hint="eastAsia" w:ascii="楷体_GB2312" w:hAnsi="楷体_GB2312" w:eastAsia="楷体_GB2312" w:cs="楷体_GB2312"/>
          <w:b w:val="0"/>
          <w:bCs/>
          <w:sz w:val="32"/>
          <w:szCs w:val="32"/>
          <w:lang w:val="en-US" w:eastAsia="zh-CN"/>
        </w:rPr>
      </w:pPr>
      <w:bookmarkStart w:id="22" w:name="_Toc8643"/>
      <w:r>
        <w:rPr>
          <w:rFonts w:hint="eastAsia" w:ascii="楷体_GB2312" w:hAnsi="楷体_GB2312" w:eastAsia="楷体_GB2312" w:cs="楷体_GB2312"/>
          <w:b w:val="0"/>
          <w:bCs/>
          <w:sz w:val="32"/>
          <w:szCs w:val="32"/>
          <w:lang w:val="en-US" w:eastAsia="zh-CN"/>
        </w:rPr>
        <w:t>财政拨款“三公”经费支出决算情况说明</w:t>
      </w:r>
      <w:bookmarkEnd w:id="22"/>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lang w:eastAsia="zh-CN"/>
        </w:rPr>
        <w:t>财政拨款“三公”经费支出决算</w:t>
      </w:r>
      <w:r>
        <w:rPr>
          <w:rFonts w:hint="eastAsia" w:ascii="仿宋_GB2312" w:hAnsi="仿宋_GB2312" w:eastAsia="仿宋_GB2312" w:cs="仿宋_GB2312"/>
          <w:sz w:val="32"/>
          <w:szCs w:val="32"/>
          <w:lang w:val="en-US" w:eastAsia="zh-CN"/>
        </w:rPr>
        <w:t>总体情况说明。</w:t>
      </w:r>
    </w:p>
    <w:p>
      <w:pPr>
        <w:keepNext w:val="0"/>
        <w:keepLines w:val="0"/>
        <w:pageBreakBefore w:val="0"/>
        <w:widowControl w:val="0"/>
        <w:kinsoku/>
        <w:wordWrap/>
        <w:overflowPunct/>
        <w:topLinePunct w:val="0"/>
        <w:autoSpaceDE/>
        <w:autoSpaceDN/>
        <w:bidi w:val="0"/>
        <w:adjustRightInd/>
        <w:snapToGrid/>
        <w:spacing w:line="360" w:lineRule="auto"/>
        <w:ind w:firstLine="960" w:firstLineChars="300"/>
        <w:jc w:val="left"/>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2024年度财政拨款“三公”经费支出预算为0.83万元，支出决算为0.83万元，完成预算的100%，与2023年度相比“</w:t>
      </w:r>
      <w:r>
        <w:rPr>
          <w:rFonts w:hint="eastAsia" w:ascii="仿宋_GB2312" w:hAnsi="仿宋_GB2312" w:eastAsia="仿宋_GB2312" w:cs="仿宋_GB2312"/>
          <w:b w:val="0"/>
          <w:bCs w:val="0"/>
          <w:sz w:val="32"/>
          <w:szCs w:val="32"/>
        </w:rPr>
        <w:t>三公</w:t>
      </w:r>
      <w:r>
        <w:rPr>
          <w:rFonts w:hint="eastAsia" w:ascii="仿宋_GB2312" w:hAnsi="仿宋_GB2312" w:eastAsia="仿宋_GB2312" w:cs="仿宋_GB2312"/>
          <w:b w:val="0"/>
          <w:bCs w:val="0"/>
          <w:sz w:val="32"/>
          <w:szCs w:val="32"/>
          <w:highlight w:val="none"/>
        </w:rPr>
        <w:t>”</w:t>
      </w:r>
      <w:r>
        <w:rPr>
          <w:rFonts w:hint="eastAsia" w:ascii="仿宋_GB2312" w:hAnsi="仿宋_GB2312" w:eastAsia="仿宋_GB2312" w:cs="仿宋_GB2312"/>
          <w:b w:val="0"/>
          <w:bCs w:val="0"/>
          <w:sz w:val="32"/>
          <w:szCs w:val="32"/>
        </w:rPr>
        <w:t>经费支出</w:t>
      </w:r>
      <w:r>
        <w:rPr>
          <w:rFonts w:hint="eastAsia" w:ascii="仿宋_GB2312" w:hAnsi="仿宋_GB2312" w:eastAsia="仿宋_GB2312" w:cs="仿宋_GB2312"/>
          <w:b w:val="0"/>
          <w:bCs w:val="0"/>
          <w:sz w:val="32"/>
          <w:szCs w:val="32"/>
          <w:lang w:val="en-US" w:eastAsia="zh-CN"/>
        </w:rPr>
        <w:t>增加0.38万元，增长84.44%，增加原因公车运行维护费支出增加。</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638" w:leftChars="304" w:firstLine="0" w:firstLine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财政拨款“三公”经费支出决算具体情况说明。</w:t>
      </w:r>
    </w:p>
    <w:p>
      <w:pPr>
        <w:keepNext w:val="0"/>
        <w:keepLines w:val="0"/>
        <w:pageBreakBefore w:val="0"/>
        <w:widowControl w:val="0"/>
        <w:kinsoku/>
        <w:wordWrap/>
        <w:overflowPunct/>
        <w:topLinePunct w:val="0"/>
        <w:autoSpaceDE/>
        <w:autoSpaceDN/>
        <w:bidi w:val="0"/>
        <w:adjustRightInd/>
        <w:snapToGrid/>
        <w:spacing w:line="360" w:lineRule="auto"/>
        <w:ind w:firstLine="960" w:firstLineChars="3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2024年财政拨款“三公”经费支出决算中，因公出国（境）费支出决算0.00万元；公务用车购置及运行费支出决算0.83万元；公务接待费决算0.00万元。</w:t>
      </w:r>
    </w:p>
    <w:p>
      <w:pPr>
        <w:pageBreakBefore w:val="0"/>
        <w:numPr>
          <w:ilvl w:val="0"/>
          <w:numId w:val="2"/>
        </w:numPr>
        <w:kinsoku/>
        <w:wordWrap/>
        <w:overflowPunct/>
        <w:topLinePunct w:val="0"/>
        <w:autoSpaceDE/>
        <w:bidi w:val="0"/>
        <w:adjustRightInd/>
        <w:snapToGrid/>
        <w:spacing w:line="576" w:lineRule="exact"/>
        <w:ind w:left="630" w:leftChars="0" w:firstLine="0" w:firstLineChars="0"/>
        <w:textAlignment w:val="auto"/>
        <w:outlineLvl w:val="1"/>
        <w:rPr>
          <w:rFonts w:hint="eastAsia" w:ascii="楷体_GB2312" w:hAnsi="楷体_GB2312" w:eastAsia="楷体_GB2312" w:cs="楷体_GB2312"/>
          <w:b w:val="0"/>
          <w:bCs/>
          <w:sz w:val="32"/>
          <w:szCs w:val="32"/>
          <w:lang w:val="en-US" w:eastAsia="zh-CN"/>
        </w:rPr>
      </w:pPr>
      <w:bookmarkStart w:id="23" w:name="_Toc31338"/>
      <w:r>
        <w:rPr>
          <w:rFonts w:hint="eastAsia" w:ascii="楷体_GB2312" w:hAnsi="楷体_GB2312" w:eastAsia="楷体_GB2312" w:cs="楷体_GB2312"/>
          <w:b w:val="0"/>
          <w:bCs/>
          <w:sz w:val="32"/>
          <w:szCs w:val="32"/>
          <w:lang w:val="en-US" w:eastAsia="zh-CN"/>
        </w:rPr>
        <w:t>预算绩效情况说明</w:t>
      </w:r>
      <w:bookmarkEnd w:id="23"/>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sz w:val="32"/>
          <w:szCs w:val="32"/>
        </w:rPr>
      </w:pPr>
      <w:r>
        <w:rPr>
          <w:rFonts w:hint="eastAsia" w:ascii="楷体" w:hAnsi="楷体" w:eastAsia="楷体" w:cs="楷体"/>
          <w:bCs/>
          <w:sz w:val="32"/>
          <w:szCs w:val="32"/>
        </w:rPr>
        <w:t>（一）绩效管理工作开展情况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根据预算管理要求，我部门组织对2024年度一般公共预算项目支出开展全面绩效自评，其中，对农牧民技能培训补助资金项目开展了绩效自评，</w:t>
      </w:r>
      <w:r>
        <w:rPr>
          <w:rFonts w:hint="eastAsia" w:ascii="仿宋_GB2312" w:eastAsia="仿宋_GB2312"/>
          <w:sz w:val="32"/>
          <w:szCs w:val="32"/>
          <w:lang w:val="en-US" w:eastAsia="zh-CN"/>
        </w:rPr>
        <w:t>共涉及资</w:t>
      </w:r>
      <w:r>
        <w:rPr>
          <w:rFonts w:hint="eastAsia" w:ascii="仿宋_GB2312" w:eastAsia="仿宋_GB2312"/>
          <w:color w:val="000000" w:themeColor="text1"/>
          <w:sz w:val="32"/>
          <w:szCs w:val="32"/>
          <w:lang w:val="en-US" w:eastAsia="zh-CN"/>
          <w14:textFill>
            <w14:solidFill>
              <w14:schemeClr w14:val="tx1"/>
            </w14:solidFill>
          </w14:textFill>
        </w:rPr>
        <w:t>金</w:t>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193</w:t>
      </w:r>
      <w:r>
        <w:rPr>
          <w:rFonts w:hint="eastAsia" w:ascii="仿宋_GB2312" w:eastAsia="仿宋_GB2312"/>
          <w:sz w:val="32"/>
          <w:szCs w:val="32"/>
          <w:lang w:val="en-US" w:eastAsia="zh-CN"/>
        </w:rPr>
        <w:t>万元，占一般公共预算项目支出总额的</w:t>
      </w:r>
      <w:r>
        <w:rPr>
          <w:rFonts w:hint="eastAsia" w:ascii="仿宋_GB2312" w:eastAsia="仿宋_GB2312"/>
          <w:color w:val="000000" w:themeColor="text1"/>
          <w:sz w:val="32"/>
          <w:szCs w:val="32"/>
          <w:lang w:val="en-US" w:eastAsia="zh-CN"/>
          <w14:textFill>
            <w14:solidFill>
              <w14:schemeClr w14:val="tx1"/>
            </w14:solidFill>
          </w14:textFill>
        </w:rPr>
        <w:t>7.2</w:t>
      </w:r>
      <w:r>
        <w:rPr>
          <w:rFonts w:hint="eastAsia" w:ascii="仿宋_GB2312" w:eastAsia="仿宋_GB2312"/>
          <w:sz w:val="32"/>
          <w:szCs w:val="32"/>
          <w:lang w:val="en-US" w:eastAsia="zh-CN"/>
        </w:rPr>
        <w:t>%</w:t>
      </w:r>
      <w:r>
        <w:rPr>
          <w:rFonts w:hint="eastAsia" w:ascii="仿宋_GB2312" w:hAnsi="仿宋_GB2312" w:eastAsia="仿宋_GB2312" w:cs="仿宋_GB2312"/>
          <w:b w:val="0"/>
          <w:bCs w:val="0"/>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楷体" w:hAnsi="楷体" w:eastAsia="楷体" w:cs="楷体"/>
          <w:bCs/>
          <w:sz w:val="32"/>
          <w:szCs w:val="32"/>
        </w:rPr>
      </w:pPr>
      <w:r>
        <w:rPr>
          <w:rFonts w:hint="eastAsia" w:ascii="楷体" w:hAnsi="楷体" w:eastAsia="楷体" w:cs="楷体"/>
          <w:bCs/>
          <w:sz w:val="32"/>
          <w:szCs w:val="32"/>
        </w:rPr>
        <w:t>（二）部门决算中项目绩效自评结果</w:t>
      </w:r>
    </w:p>
    <w:p>
      <w:pPr>
        <w:spacing w:line="566" w:lineRule="exact"/>
        <w:ind w:firstLine="640" w:firstLineChars="200"/>
        <w:rPr>
          <w:rFonts w:hint="eastAsia" w:ascii="仿宋_GB2312" w:eastAsia="仿宋_GB2312"/>
          <w:sz w:val="32"/>
          <w:szCs w:val="32"/>
        </w:rPr>
      </w:pPr>
      <w:r>
        <w:rPr>
          <w:rFonts w:hint="eastAsia" w:ascii="仿宋_GB2312" w:eastAsia="仿宋_GB2312"/>
          <w:sz w:val="32"/>
          <w:szCs w:val="32"/>
        </w:rPr>
        <w:t>我部门在部门决算中反映农牧民技能培训补助资金项目绩效自评结果（包括项目绩效自评表和项目绩效自评报告）。</w:t>
      </w:r>
      <w:r>
        <w:rPr>
          <w:rFonts w:hint="eastAsia" w:ascii="仿宋" w:hAnsi="仿宋" w:eastAsia="仿宋"/>
          <w:sz w:val="32"/>
          <w:szCs w:val="32"/>
          <w:lang w:val="en-US" w:eastAsia="zh-CN"/>
        </w:rPr>
        <w:t>绩效自评分数为96分，项目整体绩效等级为“好”。</w:t>
      </w:r>
    </w:p>
    <w:p>
      <w:pPr>
        <w:pageBreakBefore w:val="0"/>
        <w:kinsoku/>
        <w:wordWrap/>
        <w:overflowPunct/>
        <w:topLinePunct w:val="0"/>
        <w:autoSpaceDE/>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default" w:ascii="仿宋_GB2312" w:eastAsia="仿宋_GB2312"/>
          <w:sz w:val="32"/>
          <w:szCs w:val="32"/>
          <w:lang w:val="en-US"/>
        </w:rPr>
        <w:t>农牧民技能培训转移支付整体绩效目标自评表</w:t>
      </w:r>
      <w:r>
        <w:rPr>
          <w:rFonts w:hint="eastAsia" w:ascii="仿宋_GB2312" w:eastAsia="仿宋_GB2312"/>
          <w:sz w:val="32"/>
          <w:szCs w:val="32"/>
        </w:rPr>
        <w:t>：</w:t>
      </w:r>
      <w:r>
        <w:rPr>
          <w:rFonts w:hint="eastAsia" w:ascii="仿宋_GB2312" w:hAnsi="仿宋_GB2312" w:eastAsia="仿宋_GB2312" w:cs="仿宋_GB2312"/>
          <w:sz w:val="32"/>
          <w:szCs w:val="32"/>
          <w:lang w:val="en-US" w:eastAsia="zh-CN"/>
        </w:rPr>
        <w:t>详见附件2</w:t>
      </w:r>
    </w:p>
    <w:p>
      <w:pPr>
        <w:snapToGrid w:val="0"/>
        <w:spacing w:line="700" w:lineRule="exact"/>
        <w:ind w:firstLine="640" w:firstLineChars="200"/>
        <w:jc w:val="both"/>
        <w:rPr>
          <w:rFonts w:hint="default"/>
          <w:lang w:val="en-US" w:eastAsia="zh-CN"/>
        </w:rPr>
      </w:pPr>
      <w:r>
        <w:rPr>
          <w:rFonts w:hint="eastAsia" w:ascii="仿宋_GB2312" w:eastAsia="仿宋_GB2312"/>
          <w:sz w:val="32"/>
          <w:szCs w:val="32"/>
          <w:lang w:val="en-US"/>
        </w:rPr>
        <w:t>农牧民技能培训转移支付2024年度整体绩效自评报告</w:t>
      </w:r>
      <w:r>
        <w:rPr>
          <w:rFonts w:hint="eastAsia" w:ascii="仿宋_GB2312" w:eastAsia="仿宋_GB2312"/>
          <w:sz w:val="32"/>
          <w:szCs w:val="32"/>
          <w:lang w:val="en-US" w:eastAsia="zh-CN"/>
        </w:rPr>
        <w:t>：详见附件3</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农牧民技能培训转移支付2024年</w:t>
      </w:r>
      <w:r>
        <w:rPr>
          <w:rFonts w:hint="eastAsia" w:ascii="仿宋_GB2312" w:eastAsia="仿宋_GB2312"/>
          <w:color w:val="000000" w:themeColor="text1"/>
          <w:sz w:val="32"/>
          <w:szCs w:val="32"/>
          <w14:textFill>
            <w14:solidFill>
              <w14:schemeClr w14:val="tx1"/>
            </w14:solidFill>
          </w14:textFill>
        </w:rPr>
        <w:t>度整体绩效自评报告：根据年初设定的绩效目标，项目绩效自评得分为</w:t>
      </w:r>
      <w:r>
        <w:rPr>
          <w:rFonts w:hint="default" w:ascii="仿宋_GB2312" w:eastAsia="仿宋_GB2312"/>
          <w:color w:val="000000" w:themeColor="text1"/>
          <w:sz w:val="32"/>
          <w:szCs w:val="32"/>
          <w:lang w:val="en"/>
          <w14:textFill>
            <w14:solidFill>
              <w14:schemeClr w14:val="tx1"/>
            </w14:solidFill>
          </w14:textFill>
        </w:rPr>
        <w:t>9</w:t>
      </w:r>
      <w:r>
        <w:rPr>
          <w:rFonts w:hint="eastAsia" w:ascii="仿宋_GB2312" w:eastAsia="仿宋_GB2312"/>
          <w:color w:val="000000" w:themeColor="text1"/>
          <w:sz w:val="32"/>
          <w:szCs w:val="32"/>
          <w:lang w:val="en-US" w:eastAsia="zh-CN"/>
          <w14:textFill>
            <w14:solidFill>
              <w14:schemeClr w14:val="tx1"/>
            </w14:solidFill>
          </w14:textFill>
        </w:rPr>
        <w:t>6</w:t>
      </w:r>
      <w:r>
        <w:rPr>
          <w:rFonts w:hint="eastAsia" w:ascii="仿宋_GB2312" w:eastAsia="仿宋_GB2312"/>
          <w:color w:val="000000" w:themeColor="text1"/>
          <w:sz w:val="32"/>
          <w:szCs w:val="32"/>
          <w14:textFill>
            <w14:solidFill>
              <w14:schemeClr w14:val="tx1"/>
            </w14:solidFill>
          </w14:textFill>
        </w:rPr>
        <w:t>分。全年预算数为</w:t>
      </w:r>
      <w:r>
        <w:rPr>
          <w:rFonts w:hint="eastAsia" w:ascii="仿宋_GB2312" w:eastAsia="仿宋_GB2312"/>
          <w:color w:val="000000" w:themeColor="text1"/>
          <w:sz w:val="32"/>
          <w:szCs w:val="32"/>
          <w:lang w:val="en-US" w:eastAsia="zh-CN"/>
          <w14:textFill>
            <w14:solidFill>
              <w14:schemeClr w14:val="tx1"/>
            </w14:solidFill>
          </w14:textFill>
        </w:rPr>
        <w:t>193</w:t>
      </w:r>
      <w:r>
        <w:rPr>
          <w:rFonts w:hint="eastAsia" w:ascii="仿宋_GB2312" w:eastAsia="仿宋_GB2312"/>
          <w:color w:val="000000" w:themeColor="text1"/>
          <w:sz w:val="32"/>
          <w:szCs w:val="32"/>
          <w14:textFill>
            <w14:solidFill>
              <w14:schemeClr w14:val="tx1"/>
            </w14:solidFill>
          </w14:textFill>
        </w:rPr>
        <w:t>万元，执行数为</w:t>
      </w:r>
      <w:r>
        <w:rPr>
          <w:rFonts w:hint="eastAsia" w:ascii="仿宋_GB2312" w:eastAsia="仿宋_GB2312"/>
          <w:color w:val="000000" w:themeColor="text1"/>
          <w:sz w:val="32"/>
          <w:szCs w:val="32"/>
          <w:lang w:val="en-US" w:eastAsia="zh-CN"/>
          <w14:textFill>
            <w14:solidFill>
              <w14:schemeClr w14:val="tx1"/>
            </w14:solidFill>
          </w14:textFill>
        </w:rPr>
        <w:t>113</w:t>
      </w:r>
      <w:r>
        <w:rPr>
          <w:rFonts w:hint="eastAsia" w:ascii="仿宋_GB2312" w:eastAsia="仿宋_GB2312"/>
          <w:color w:val="000000" w:themeColor="text1"/>
          <w:sz w:val="32"/>
          <w:szCs w:val="32"/>
          <w14:textFill>
            <w14:solidFill>
              <w14:schemeClr w14:val="tx1"/>
            </w14:solidFill>
          </w14:textFill>
        </w:rPr>
        <w:t>万元，完成预算的</w:t>
      </w:r>
      <w:r>
        <w:rPr>
          <w:rFonts w:hint="eastAsia" w:ascii="仿宋_GB2312" w:eastAsia="仿宋_GB2312"/>
          <w:color w:val="000000" w:themeColor="text1"/>
          <w:sz w:val="32"/>
          <w:szCs w:val="32"/>
          <w:lang w:val="en-US" w:eastAsia="zh-CN"/>
          <w14:textFill>
            <w14:solidFill>
              <w14:schemeClr w14:val="tx1"/>
            </w14:solidFill>
          </w14:textFill>
        </w:rPr>
        <w:t>58.55</w:t>
      </w:r>
      <w:r>
        <w:rPr>
          <w:rFonts w:hint="eastAsia" w:ascii="仿宋_GB2312" w:eastAsia="仿宋_GB2312"/>
          <w:color w:val="000000" w:themeColor="text1"/>
          <w:sz w:val="32"/>
          <w:szCs w:val="32"/>
          <w14:textFill>
            <w14:solidFill>
              <w14:schemeClr w14:val="tx1"/>
            </w14:solidFill>
          </w14:textFill>
        </w:rPr>
        <w:t>%。</w:t>
      </w:r>
      <w:r>
        <w:rPr>
          <w:rFonts w:hint="eastAsia" w:ascii="仿宋_GB2312" w:eastAsia="仿宋_GB2312"/>
          <w:sz w:val="32"/>
          <w:szCs w:val="32"/>
        </w:rPr>
        <w:t>项目绩效目标完成情况：</w:t>
      </w:r>
      <w:r>
        <w:rPr>
          <w:rFonts w:hint="eastAsia" w:ascii="仿宋" w:hAnsi="仿宋" w:eastAsia="仿宋" w:cs="Times New Roman"/>
          <w:sz w:val="32"/>
          <w:szCs w:val="32"/>
          <w:lang w:val="en-US" w:eastAsia="zh-CN"/>
        </w:rPr>
        <w:t>通过就业技能培训，410人已完成全部技能提升培训，培训对象参评率及满意度均在90%以上，达到就业人数164人，进一步提升了高素质农牧民生产经营和带动能力</w:t>
      </w:r>
      <w:r>
        <w:rPr>
          <w:rFonts w:hint="eastAsia" w:ascii="仿宋_GB2312" w:eastAsia="仿宋_GB2312"/>
          <w:sz w:val="32"/>
          <w:szCs w:val="32"/>
        </w:rPr>
        <w:t>。发现的主要问题及原因：一是</w:t>
      </w:r>
      <w:r>
        <w:rPr>
          <w:rFonts w:hint="eastAsia" w:ascii="仿宋" w:hAnsi="仿宋" w:eastAsia="仿宋"/>
          <w:sz w:val="32"/>
          <w:szCs w:val="32"/>
          <w:lang w:val="en-US" w:eastAsia="zh-CN"/>
        </w:rPr>
        <w:t>资金支出进度缓慢</w:t>
      </w:r>
      <w:r>
        <w:rPr>
          <w:rFonts w:hint="eastAsia" w:ascii="仿宋_GB2312" w:eastAsia="仿宋_GB2312"/>
          <w:sz w:val="32"/>
          <w:szCs w:val="32"/>
        </w:rPr>
        <w:t>；二是</w:t>
      </w:r>
      <w:r>
        <w:rPr>
          <w:rFonts w:hint="eastAsia" w:ascii="仿宋" w:hAnsi="仿宋" w:eastAsia="仿宋"/>
          <w:sz w:val="32"/>
          <w:szCs w:val="32"/>
          <w:lang w:val="en-US" w:eastAsia="zh-CN"/>
        </w:rPr>
        <w:t>培训与市场需求匹配度需提升；三是跟踪服务不足；四是绩效评价指标设计不合理。</w:t>
      </w:r>
      <w:r>
        <w:rPr>
          <w:rFonts w:hint="eastAsia" w:ascii="仿宋_GB2312" w:eastAsia="仿宋_GB2312"/>
          <w:sz w:val="32"/>
          <w:szCs w:val="32"/>
        </w:rPr>
        <w:t>下一步改进措施：</w:t>
      </w:r>
      <w:r>
        <w:rPr>
          <w:rFonts w:hint="eastAsia" w:ascii="仿宋_GB2312" w:eastAsia="仿宋_GB2312"/>
          <w:sz w:val="32"/>
          <w:szCs w:val="32"/>
          <w:lang w:val="en-US" w:eastAsia="zh-CN"/>
        </w:rPr>
        <w:t>一是</w:t>
      </w:r>
      <w:r>
        <w:rPr>
          <w:rFonts w:hint="eastAsia" w:ascii="仿宋" w:hAnsi="仿宋" w:eastAsia="仿宋"/>
          <w:sz w:val="32"/>
          <w:szCs w:val="32"/>
          <w:lang w:val="en-US" w:eastAsia="zh-CN"/>
        </w:rPr>
        <w:t>加强项目前期规划，合理安排培训进度，优化资金审批流程；二是增加实践教学比重，提高学员实际操作能力；建立跟踪服务台账，定期回访学员，提供就业信息等</w:t>
      </w:r>
      <w:r>
        <w:rPr>
          <w:rFonts w:hint="eastAsia" w:ascii="仿宋_GB2312" w:eastAsia="仿宋_GB2312"/>
          <w:sz w:val="32"/>
          <w:szCs w:val="32"/>
        </w:rPr>
        <w:t>。</w:t>
      </w:r>
    </w:p>
    <w:p>
      <w:pPr>
        <w:pageBreakBefore w:val="0"/>
        <w:numPr>
          <w:ilvl w:val="0"/>
          <w:numId w:val="2"/>
        </w:numPr>
        <w:kinsoku/>
        <w:wordWrap/>
        <w:overflowPunct/>
        <w:topLinePunct w:val="0"/>
        <w:autoSpaceDE/>
        <w:bidi w:val="0"/>
        <w:adjustRightInd/>
        <w:snapToGrid/>
        <w:spacing w:line="576" w:lineRule="exact"/>
        <w:ind w:left="630" w:leftChars="0" w:firstLine="0" w:firstLineChars="0"/>
        <w:textAlignment w:val="auto"/>
        <w:outlineLvl w:val="1"/>
        <w:rPr>
          <w:rFonts w:hint="eastAsia" w:ascii="楷体_GB2312" w:hAnsi="楷体_GB2312" w:eastAsia="楷体_GB2312" w:cs="楷体_GB2312"/>
          <w:b w:val="0"/>
          <w:bCs/>
          <w:sz w:val="32"/>
          <w:szCs w:val="32"/>
          <w:lang w:val="en-US" w:eastAsia="zh-CN"/>
        </w:rPr>
      </w:pPr>
      <w:bookmarkStart w:id="24" w:name="_Toc14608"/>
      <w:r>
        <w:rPr>
          <w:rFonts w:hint="eastAsia" w:ascii="楷体_GB2312" w:hAnsi="楷体_GB2312" w:eastAsia="楷体_GB2312" w:cs="楷体_GB2312"/>
          <w:b w:val="0"/>
          <w:bCs/>
          <w:sz w:val="32"/>
          <w:szCs w:val="32"/>
          <w:lang w:val="en-US" w:eastAsia="zh-CN"/>
        </w:rPr>
        <w:t>其他重要事项情况说明</w:t>
      </w:r>
      <w:bookmarkEnd w:id="24"/>
    </w:p>
    <w:bookmarkEnd w:id="20"/>
    <w:p>
      <w:pPr>
        <w:pageBreakBefore w:val="0"/>
        <w:numPr>
          <w:ilvl w:val="0"/>
          <w:numId w:val="0"/>
        </w:numPr>
        <w:kinsoku/>
        <w:wordWrap/>
        <w:overflowPunct/>
        <w:topLinePunct w:val="0"/>
        <w:autoSpaceDE/>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机关运行经费支出情况</w:t>
      </w:r>
    </w:p>
    <w:p>
      <w:pPr>
        <w:pageBreakBefore w:val="0"/>
        <w:kinsoku/>
        <w:wordWrap/>
        <w:overflowPunct/>
        <w:topLinePunct w:val="0"/>
        <w:autoSpaceDE/>
        <w:bidi w:val="0"/>
        <w:adjustRightInd/>
        <w:snapToGrid/>
        <w:spacing w:line="576" w:lineRule="exact"/>
        <w:ind w:firstLine="640" w:firstLineChars="200"/>
        <w:jc w:val="both"/>
        <w:textAlignment w:val="auto"/>
        <w:rPr>
          <w:rFonts w:hint="eastAsia" w:ascii="仿宋" w:hAnsi="仿宋" w:eastAsia="仿宋"/>
          <w:sz w:val="32"/>
          <w:szCs w:val="32"/>
        </w:rPr>
      </w:pPr>
      <w:r>
        <w:rPr>
          <w:rFonts w:hint="eastAsia" w:ascii="仿宋" w:hAnsi="仿宋" w:eastAsia="仿宋" w:cs="Times New Roman"/>
          <w:sz w:val="32"/>
          <w:szCs w:val="32"/>
          <w:lang w:eastAsia="zh-CN"/>
        </w:rPr>
        <w:t>本单位</w:t>
      </w:r>
      <w:r>
        <w:rPr>
          <w:rFonts w:hint="eastAsia" w:ascii="仿宋" w:hAnsi="仿宋" w:eastAsia="仿宋"/>
          <w:sz w:val="32"/>
          <w:szCs w:val="32"/>
          <w:lang w:eastAsia="zh-CN"/>
        </w:rPr>
        <w:t>20</w:t>
      </w:r>
      <w:r>
        <w:rPr>
          <w:rFonts w:hint="eastAsia" w:ascii="仿宋" w:hAnsi="仿宋" w:eastAsia="仿宋"/>
          <w:sz w:val="32"/>
          <w:szCs w:val="32"/>
          <w:lang w:val="en-US" w:eastAsia="zh-CN"/>
        </w:rPr>
        <w:t>24</w:t>
      </w:r>
      <w:r>
        <w:rPr>
          <w:rFonts w:hint="eastAsia" w:ascii="仿宋" w:hAnsi="仿宋" w:eastAsia="仿宋"/>
          <w:sz w:val="32"/>
          <w:szCs w:val="32"/>
        </w:rPr>
        <w:t>年</w:t>
      </w:r>
      <w:r>
        <w:rPr>
          <w:rFonts w:hint="eastAsia" w:ascii="仿宋" w:hAnsi="仿宋" w:eastAsia="仿宋"/>
          <w:sz w:val="32"/>
          <w:szCs w:val="32"/>
          <w:lang w:eastAsia="zh-CN"/>
        </w:rPr>
        <w:t>度</w:t>
      </w:r>
      <w:r>
        <w:rPr>
          <w:rFonts w:hint="eastAsia" w:ascii="仿宋" w:hAnsi="仿宋" w:eastAsia="仿宋"/>
          <w:sz w:val="32"/>
          <w:szCs w:val="32"/>
        </w:rPr>
        <w:t>机关运行经费支出</w:t>
      </w:r>
      <w:r>
        <w:rPr>
          <w:rFonts w:hint="eastAsia" w:ascii="仿宋" w:hAnsi="仿宋" w:eastAsia="仿宋"/>
          <w:sz w:val="32"/>
          <w:szCs w:val="32"/>
          <w:lang w:val="en-US" w:eastAsia="zh-CN"/>
        </w:rPr>
        <w:t>22.43万元，</w:t>
      </w:r>
      <w:r>
        <w:rPr>
          <w:rFonts w:hint="eastAsia" w:ascii="仿宋_GB2312" w:hAnsi="仿宋_GB2312" w:eastAsia="仿宋_GB2312" w:cs="仿宋_GB2312"/>
          <w:b w:val="0"/>
          <w:bCs w:val="0"/>
          <w:sz w:val="32"/>
          <w:szCs w:val="32"/>
          <w:lang w:val="en-US" w:eastAsia="zh-CN"/>
        </w:rPr>
        <w:t>与2023年度相比</w:t>
      </w:r>
      <w:r>
        <w:rPr>
          <w:rFonts w:hint="eastAsia" w:ascii="仿宋" w:hAnsi="仿宋" w:eastAsia="仿宋"/>
          <w:sz w:val="32"/>
          <w:szCs w:val="32"/>
        </w:rPr>
        <w:t>机关运行经费</w:t>
      </w:r>
      <w:r>
        <w:rPr>
          <w:rFonts w:hint="eastAsia" w:ascii="仿宋_GB2312" w:hAnsi="仿宋_GB2312" w:eastAsia="仿宋_GB2312" w:cs="仿宋_GB2312"/>
          <w:b w:val="0"/>
          <w:bCs w:val="0"/>
          <w:sz w:val="32"/>
          <w:szCs w:val="32"/>
        </w:rPr>
        <w:t>支出</w:t>
      </w:r>
      <w:r>
        <w:rPr>
          <w:rFonts w:hint="eastAsia" w:ascii="仿宋_GB2312" w:hAnsi="仿宋_GB2312" w:eastAsia="仿宋_GB2312" w:cs="仿宋_GB2312"/>
          <w:b w:val="0"/>
          <w:bCs w:val="0"/>
          <w:sz w:val="32"/>
          <w:szCs w:val="32"/>
          <w:lang w:val="en-US" w:eastAsia="zh-CN"/>
        </w:rPr>
        <w:t>增加1.22万元，主要原因是单位实有人数增加，财政核定公用经费增加</w:t>
      </w:r>
      <w:r>
        <w:rPr>
          <w:rFonts w:hint="eastAsia" w:ascii="仿宋" w:hAnsi="仿宋" w:eastAsia="仿宋"/>
          <w:sz w:val="32"/>
          <w:szCs w:val="32"/>
        </w:rPr>
        <w:t>。</w:t>
      </w:r>
    </w:p>
    <w:p>
      <w:pPr>
        <w:pageBreakBefore w:val="0"/>
        <w:numPr>
          <w:ilvl w:val="0"/>
          <w:numId w:val="0"/>
        </w:numPr>
        <w:kinsoku/>
        <w:wordWrap/>
        <w:overflowPunct/>
        <w:topLinePunct w:val="0"/>
        <w:autoSpaceDE/>
        <w:bidi w:val="0"/>
        <w:adjustRightInd/>
        <w:snapToGrid/>
        <w:spacing w:line="576" w:lineRule="exact"/>
        <w:ind w:left="630" w:left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政府采购支出情况</w:t>
      </w:r>
    </w:p>
    <w:p>
      <w:pPr>
        <w:pageBreakBefore w:val="0"/>
        <w:kinsoku/>
        <w:wordWrap/>
        <w:overflowPunct/>
        <w:topLinePunct w:val="0"/>
        <w:autoSpaceDE/>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本年无采购相关支出</w:t>
      </w:r>
    </w:p>
    <w:p>
      <w:pPr>
        <w:pageBreakBefore w:val="0"/>
        <w:numPr>
          <w:ilvl w:val="0"/>
          <w:numId w:val="0"/>
        </w:numPr>
        <w:kinsoku/>
        <w:wordWrap/>
        <w:overflowPunct/>
        <w:topLinePunct w:val="0"/>
        <w:autoSpaceDE/>
        <w:bidi w:val="0"/>
        <w:adjustRightInd/>
        <w:snapToGrid/>
        <w:spacing w:line="576" w:lineRule="exact"/>
        <w:ind w:left="630" w:left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国有资产占用情况</w:t>
      </w:r>
    </w:p>
    <w:p>
      <w:pPr>
        <w:keepNext w:val="0"/>
        <w:keepLines w:val="0"/>
        <w:pageBreakBefore w:val="0"/>
        <w:widowControl w:val="0"/>
        <w:kinsoku/>
        <w:wordWrap/>
        <w:overflowPunct/>
        <w:topLinePunct w:val="0"/>
        <w:autoSpaceDE/>
        <w:autoSpaceDN/>
        <w:bidi w:val="0"/>
        <w:adjustRightInd/>
        <w:snapToGrid/>
        <w:spacing w:line="576" w:lineRule="exact"/>
        <w:ind w:left="638" w:leftChars="304"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截至</w:t>
      </w:r>
      <w:r>
        <w:rPr>
          <w:rFonts w:hint="eastAsia" w:ascii="仿宋_GB2312" w:hAnsi="仿宋_GB2312" w:eastAsia="仿宋_GB2312" w:cs="仿宋_GB2312"/>
          <w:sz w:val="32"/>
          <w:szCs w:val="32"/>
          <w:lang w:eastAsia="zh-CN"/>
        </w:rPr>
        <w:t>20</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年12月31日，本单位共有车辆</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为其他用车</w:t>
      </w:r>
      <w:r>
        <w:rPr>
          <w:rFonts w:hint="eastAsia" w:ascii="仿宋_GB2312" w:hAnsi="仿宋_GB2312" w:eastAsia="仿宋_GB2312" w:cs="仿宋_GB2312"/>
          <w:sz w:val="32"/>
          <w:szCs w:val="32"/>
        </w:rPr>
        <w:t>。</w:t>
      </w:r>
    </w:p>
    <w:p>
      <w:pPr>
        <w:pageBreakBefore w:val="0"/>
        <w:numPr>
          <w:ilvl w:val="0"/>
          <w:numId w:val="0"/>
        </w:numPr>
        <w:kinsoku/>
        <w:wordWrap/>
        <w:overflowPunct/>
        <w:topLinePunct w:val="0"/>
        <w:autoSpaceDE/>
        <w:bidi w:val="0"/>
        <w:adjustRightInd/>
        <w:snapToGrid/>
        <w:spacing w:line="576" w:lineRule="exact"/>
        <w:ind w:left="630" w:leftChars="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eastAsia="zh-CN"/>
        </w:rPr>
        <w:t>政府性基金预算支出情况表</w:t>
      </w:r>
    </w:p>
    <w:p>
      <w:pPr>
        <w:pageBreakBefore w:val="0"/>
        <w:numPr>
          <w:ilvl w:val="0"/>
          <w:numId w:val="0"/>
        </w:numPr>
        <w:kinsoku/>
        <w:wordWrap/>
        <w:overflowPunct/>
        <w:topLinePunct w:val="0"/>
        <w:autoSpaceDE/>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政府性基金预算支出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万元。</w:t>
      </w:r>
    </w:p>
    <w:p>
      <w:pPr>
        <w:pageBreakBefore w:val="0"/>
        <w:numPr>
          <w:ilvl w:val="0"/>
          <w:numId w:val="0"/>
        </w:numPr>
        <w:kinsoku/>
        <w:wordWrap/>
        <w:overflowPunct/>
        <w:topLinePunct w:val="0"/>
        <w:autoSpaceDE/>
        <w:bidi w:val="0"/>
        <w:adjustRightInd/>
        <w:snapToGrid/>
        <w:spacing w:line="576" w:lineRule="exact"/>
        <w:ind w:left="630" w:leftChars="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lang w:eastAsia="zh-CN"/>
        </w:rPr>
        <w:t>债务说明</w:t>
      </w:r>
    </w:p>
    <w:p>
      <w:pPr>
        <w:pageBreakBefore w:val="0"/>
        <w:numPr>
          <w:ilvl w:val="0"/>
          <w:numId w:val="0"/>
        </w:numPr>
        <w:kinsoku/>
        <w:wordWrap/>
        <w:overflowPunct/>
        <w:topLinePunct w:val="0"/>
        <w:autoSpaceDE/>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本单位无债务。</w:t>
      </w:r>
    </w:p>
    <w:p>
      <w:pPr>
        <w:pageBreakBefore w:val="0"/>
        <w:kinsoku/>
        <w:wordWrap/>
        <w:overflowPunct/>
        <w:topLinePunct w:val="0"/>
        <w:autoSpaceDE/>
        <w:bidi w:val="0"/>
        <w:adjustRightInd/>
        <w:snapToGrid/>
        <w:spacing w:line="576" w:lineRule="exact"/>
        <w:jc w:val="center"/>
        <w:textAlignment w:val="auto"/>
        <w:outlineLvl w:val="0"/>
        <w:rPr>
          <w:rFonts w:hint="eastAsia" w:ascii="黑体" w:hAnsi="黑体" w:eastAsia="黑体" w:cs="方正小标宋简体"/>
          <w:sz w:val="32"/>
          <w:szCs w:val="32"/>
        </w:rPr>
      </w:pPr>
      <w:bookmarkStart w:id="25" w:name="_Toc27646"/>
      <w:bookmarkStart w:id="26" w:name="_Toc17696"/>
      <w:r>
        <w:rPr>
          <w:rFonts w:hint="eastAsia" w:ascii="黑体" w:hAnsi="黑体" w:eastAsia="黑体" w:cs="方正小标宋简体"/>
          <w:sz w:val="32"/>
          <w:szCs w:val="32"/>
        </w:rPr>
        <w:t>第四部分 名词解释</w:t>
      </w:r>
      <w:bookmarkEnd w:id="25"/>
      <w:bookmarkEnd w:id="26"/>
    </w:p>
    <w:p>
      <w:pPr>
        <w:pageBreakBefore w:val="0"/>
        <w:kinsoku/>
        <w:wordWrap/>
        <w:overflowPunct/>
        <w:topLinePunct w:val="0"/>
        <w:autoSpaceDE/>
        <w:bidi w:val="0"/>
        <w:adjustRightInd/>
        <w:snapToGrid/>
        <w:spacing w:line="576" w:lineRule="exact"/>
        <w:ind w:firstLine="640" w:firstLineChars="200"/>
        <w:textAlignment w:val="auto"/>
        <w:rPr>
          <w:rFonts w:hint="eastAsia" w:ascii="仿宋_GB2312" w:hAnsi="仿宋_GB2312" w:eastAsia="仿宋_GB2312"/>
          <w:sz w:val="32"/>
        </w:rPr>
      </w:pPr>
    </w:p>
    <w:p>
      <w:pPr>
        <w:pageBreakBefore w:val="0"/>
        <w:kinsoku/>
        <w:wordWrap/>
        <w:overflowPunct/>
        <w:topLinePunct w:val="0"/>
        <w:autoSpaceDE/>
        <w:bidi w:val="0"/>
        <w:adjustRightInd/>
        <w:snapToGrid/>
        <w:spacing w:line="576" w:lineRule="exact"/>
        <w:ind w:firstLine="640" w:firstLineChars="200"/>
        <w:textAlignment w:val="auto"/>
        <w:rPr>
          <w:rFonts w:hint="eastAsia" w:ascii="仿宋_GB2312" w:hAnsi="仿宋_GB2312" w:eastAsia="仿宋_GB2312"/>
          <w:sz w:val="32"/>
          <w:szCs w:val="32"/>
        </w:rPr>
      </w:pPr>
      <w:r>
        <w:rPr>
          <w:rFonts w:hint="eastAsia" w:ascii="仿宋_GB2312" w:hAnsi="仿宋_GB2312" w:eastAsia="仿宋_GB2312"/>
          <w:sz w:val="32"/>
          <w:szCs w:val="32"/>
        </w:rPr>
        <w:t>一、财政拨款，是指县级财政当年拨付的资金。</w:t>
      </w:r>
    </w:p>
    <w:p>
      <w:pPr>
        <w:pageBreakBefore w:val="0"/>
        <w:kinsoku/>
        <w:wordWrap/>
        <w:overflowPunct/>
        <w:topLinePunct w:val="0"/>
        <w:autoSpaceDE/>
        <w:bidi w:val="0"/>
        <w:adjustRightInd/>
        <w:snapToGrid/>
        <w:spacing w:line="576" w:lineRule="exact"/>
        <w:ind w:firstLine="640" w:firstLineChars="200"/>
        <w:textAlignment w:val="auto"/>
        <w:rPr>
          <w:rFonts w:hint="eastAsia" w:ascii="仿宋_GB2312" w:hAnsi="仿宋_GB2312" w:eastAsia="仿宋_GB2312"/>
          <w:sz w:val="32"/>
          <w:szCs w:val="32"/>
        </w:rPr>
      </w:pPr>
      <w:r>
        <w:rPr>
          <w:rFonts w:hint="eastAsia" w:ascii="仿宋_GB2312" w:hAnsi="仿宋_GB2312" w:eastAsia="仿宋_GB2312"/>
          <w:sz w:val="32"/>
          <w:szCs w:val="32"/>
        </w:rPr>
        <w:t>二、事业收入，是指事业单位开展业务活动取得的收入。</w:t>
      </w:r>
    </w:p>
    <w:p>
      <w:pPr>
        <w:pageBreakBefore w:val="0"/>
        <w:kinsoku/>
        <w:wordWrap/>
        <w:overflowPunct/>
        <w:topLinePunct w:val="0"/>
        <w:autoSpaceDE/>
        <w:bidi w:val="0"/>
        <w:adjustRightInd/>
        <w:snapToGrid/>
        <w:spacing w:line="576" w:lineRule="exact"/>
        <w:ind w:firstLine="640" w:firstLineChars="200"/>
        <w:textAlignment w:val="auto"/>
        <w:rPr>
          <w:rFonts w:hint="eastAsia" w:ascii="仿宋_GB2312" w:hAnsi="仿宋_GB2312" w:eastAsia="仿宋_GB2312"/>
          <w:sz w:val="32"/>
          <w:szCs w:val="32"/>
        </w:rPr>
      </w:pPr>
      <w:r>
        <w:rPr>
          <w:rFonts w:hint="eastAsia" w:ascii="仿宋_GB2312" w:hAnsi="仿宋_GB2312" w:eastAsia="仿宋_GB2312"/>
          <w:sz w:val="32"/>
          <w:szCs w:val="32"/>
        </w:rPr>
        <w:t>三、上级补助收入，指事业单位收到上级单位拨入的非财政补助资金。</w:t>
      </w:r>
    </w:p>
    <w:p>
      <w:pPr>
        <w:pageBreakBefore w:val="0"/>
        <w:kinsoku/>
        <w:wordWrap/>
        <w:overflowPunct/>
        <w:topLinePunct w:val="0"/>
        <w:autoSpaceDE/>
        <w:bidi w:val="0"/>
        <w:adjustRightInd/>
        <w:snapToGrid/>
        <w:spacing w:line="576" w:lineRule="exact"/>
        <w:ind w:firstLine="640" w:firstLineChars="200"/>
        <w:textAlignment w:val="auto"/>
        <w:rPr>
          <w:rFonts w:hint="eastAsia" w:ascii="仿宋_GB2312" w:hAnsi="仿宋_GB2312" w:eastAsia="仿宋_GB2312"/>
          <w:sz w:val="32"/>
          <w:szCs w:val="32"/>
        </w:rPr>
      </w:pPr>
      <w:r>
        <w:rPr>
          <w:rFonts w:hint="eastAsia" w:ascii="仿宋_GB2312" w:hAnsi="仿宋_GB2312" w:eastAsia="仿宋_GB2312"/>
          <w:sz w:val="32"/>
          <w:szCs w:val="32"/>
        </w:rPr>
        <w:t>四、一般公共服务（类）支出，指政府提供一般公共服务的支出。如财政局保障机构正常运转、开展财政管理活动所发生的基本支出和项目支出。</w:t>
      </w:r>
    </w:p>
    <w:p>
      <w:pPr>
        <w:pageBreakBefore w:val="0"/>
        <w:kinsoku/>
        <w:wordWrap/>
        <w:overflowPunct/>
        <w:topLinePunct w:val="0"/>
        <w:autoSpaceDE/>
        <w:bidi w:val="0"/>
        <w:adjustRightInd/>
        <w:snapToGrid/>
        <w:spacing w:line="576" w:lineRule="exact"/>
        <w:ind w:firstLine="640" w:firstLineChars="200"/>
        <w:textAlignment w:val="auto"/>
        <w:rPr>
          <w:rFonts w:hint="eastAsia" w:ascii="仿宋_GB2312" w:hAnsi="仿宋_GB2312" w:eastAsia="仿宋_GB2312"/>
          <w:sz w:val="32"/>
          <w:szCs w:val="32"/>
        </w:rPr>
      </w:pPr>
      <w:r>
        <w:rPr>
          <w:rFonts w:hint="eastAsia" w:ascii="仿宋_GB2312" w:hAnsi="仿宋_GB2312" w:eastAsia="仿宋_GB2312"/>
          <w:sz w:val="32"/>
          <w:szCs w:val="32"/>
        </w:rPr>
        <w:t>五、政府性基金收入，县本级基金收入主要项目包括国有土地使用权出让收入、政府住房基金收入和其他基金收入。　　</w:t>
      </w:r>
    </w:p>
    <w:p>
      <w:pPr>
        <w:pageBreakBefore w:val="0"/>
        <w:kinsoku/>
        <w:wordWrap/>
        <w:overflowPunct/>
        <w:topLinePunct w:val="0"/>
        <w:autoSpaceDE/>
        <w:bidi w:val="0"/>
        <w:adjustRightInd/>
        <w:snapToGrid/>
        <w:spacing w:line="576" w:lineRule="exact"/>
        <w:ind w:firstLine="640" w:firstLineChars="200"/>
        <w:textAlignment w:val="auto"/>
        <w:rPr>
          <w:rFonts w:hint="eastAsia" w:ascii="仿宋_GB2312" w:hAnsi="仿宋_GB2312" w:eastAsia="仿宋_GB2312"/>
          <w:sz w:val="32"/>
          <w:szCs w:val="32"/>
        </w:rPr>
      </w:pPr>
      <w:r>
        <w:rPr>
          <w:rFonts w:hint="eastAsia" w:ascii="仿宋_GB2312" w:hAnsi="仿宋_GB2312" w:eastAsia="仿宋_GB2312"/>
          <w:sz w:val="32"/>
          <w:szCs w:val="32"/>
        </w:rPr>
        <w:t>六、基本支出，指部门为保障其机构正常运转、完成日常工作任务而编制的年度基本支出计划，包括人员经费和公用经费两部分。</w:t>
      </w:r>
    </w:p>
    <w:p>
      <w:pPr>
        <w:pageBreakBefore w:val="0"/>
        <w:kinsoku/>
        <w:wordWrap/>
        <w:overflowPunct/>
        <w:topLinePunct w:val="0"/>
        <w:autoSpaceDE/>
        <w:bidi w:val="0"/>
        <w:adjustRightInd/>
        <w:snapToGrid/>
        <w:spacing w:line="576" w:lineRule="exact"/>
        <w:ind w:firstLine="640" w:firstLineChars="200"/>
        <w:textAlignment w:val="auto"/>
        <w:rPr>
          <w:rFonts w:hint="eastAsia" w:ascii="仿宋_GB2312" w:hAnsi="仿宋_GB2312" w:eastAsia="仿宋_GB2312"/>
          <w:sz w:val="32"/>
          <w:szCs w:val="32"/>
        </w:rPr>
      </w:pPr>
      <w:r>
        <w:rPr>
          <w:rFonts w:hint="eastAsia" w:ascii="仿宋_GB2312" w:hAnsi="仿宋_GB2312" w:eastAsia="仿宋_GB2312"/>
          <w:sz w:val="32"/>
          <w:szCs w:val="32"/>
        </w:rPr>
        <w:t>七、项目支出，指部门为完成其特定的行政工作任务或事业发展目标，在基本支出预算之外编制的年度项目支出计划。</w:t>
      </w:r>
    </w:p>
    <w:p>
      <w:pPr>
        <w:pageBreakBefore w:val="0"/>
        <w:kinsoku/>
        <w:wordWrap/>
        <w:overflowPunct/>
        <w:topLinePunct w:val="0"/>
        <w:autoSpaceDE/>
        <w:bidi w:val="0"/>
        <w:adjustRightInd/>
        <w:snapToGrid/>
        <w:spacing w:line="576" w:lineRule="exact"/>
        <w:ind w:firstLine="640" w:firstLineChars="200"/>
        <w:textAlignment w:val="auto"/>
        <w:rPr>
          <w:rFonts w:hint="eastAsia" w:ascii="仿宋_GB2312" w:hAnsi="仿宋_GB2312" w:eastAsia="仿宋_GB2312"/>
          <w:sz w:val="32"/>
          <w:szCs w:val="32"/>
        </w:rPr>
      </w:pPr>
      <w:r>
        <w:rPr>
          <w:rFonts w:hint="eastAsia" w:ascii="仿宋_GB2312" w:hAnsi="仿宋_GB2312" w:eastAsia="仿宋_GB2312"/>
          <w:sz w:val="32"/>
          <w:szCs w:val="32"/>
        </w:rPr>
        <w:t>八、“三公”经费，包括因公出国（境）费、公务接待费和公务用车购置及运行费。因公出国（境）费，指单位工作人员公务出国（境）的住宿费、旅费、伙食补助费、杂费、培训费等支出。公务接待费，指单位按规定开支的各类公务接待（含外宾接待）支出。公务用车购置及运行费，指单位公务用车购置费及租用费、燃料费、维修费、过路过桥费、保险费、安全奖励费用等支出，公务用车指用于履行公务的机动车辆，包括领导干部专车、一般公务用车和执法执勤用车。</w:t>
      </w:r>
    </w:p>
    <w:p>
      <w:pPr>
        <w:pageBreakBefore w:val="0"/>
        <w:kinsoku/>
        <w:wordWrap/>
        <w:overflowPunct/>
        <w:topLinePunct w:val="0"/>
        <w:autoSpaceDE/>
        <w:bidi w:val="0"/>
        <w:adjustRightInd/>
        <w:snapToGrid/>
        <w:spacing w:line="576" w:lineRule="exact"/>
        <w:ind w:firstLine="640" w:firstLineChars="200"/>
        <w:textAlignment w:val="auto"/>
        <w:rPr>
          <w:rFonts w:hint="eastAsia" w:ascii="仿宋_GB2312" w:hAnsi="仿宋_GB2312" w:eastAsia="仿宋_GB2312"/>
          <w:sz w:val="32"/>
          <w:szCs w:val="32"/>
          <w:lang w:eastAsia="zh-CN"/>
        </w:rPr>
      </w:pPr>
      <w:r>
        <w:rPr>
          <w:rFonts w:hint="eastAsia" w:ascii="仿宋_GB2312" w:hAnsi="仿宋_GB2312" w:eastAsia="仿宋_GB2312"/>
          <w:sz w:val="32"/>
          <w:szCs w:val="32"/>
          <w:lang w:eastAsia="zh-CN"/>
        </w:rPr>
        <w:t>九、财政委托业务支出，指财政委托评审机构进行财政投资评审和委托建设银行等机构代理业务发生的支出。</w:t>
      </w:r>
    </w:p>
    <w:p>
      <w:pPr>
        <w:pageBreakBefore w:val="0"/>
        <w:kinsoku/>
        <w:wordWrap/>
        <w:overflowPunct/>
        <w:topLinePunct w:val="0"/>
        <w:autoSpaceDE/>
        <w:bidi w:val="0"/>
        <w:adjustRightInd/>
        <w:snapToGrid/>
        <w:spacing w:line="576" w:lineRule="exact"/>
        <w:ind w:firstLine="640" w:firstLineChars="200"/>
        <w:textAlignment w:val="auto"/>
        <w:rPr>
          <w:rFonts w:hint="eastAsia" w:ascii="仿宋_GB2312" w:hAnsi="仿宋_GB2312" w:eastAsia="仿宋_GB2312"/>
          <w:sz w:val="32"/>
          <w:szCs w:val="32"/>
          <w:lang w:eastAsia="zh-CN"/>
        </w:rPr>
      </w:pPr>
      <w:r>
        <w:rPr>
          <w:rFonts w:hint="eastAsia" w:ascii="仿宋_GB2312" w:hAnsi="仿宋_GB2312" w:eastAsia="仿宋_GB2312"/>
          <w:sz w:val="32"/>
          <w:szCs w:val="32"/>
          <w:lang w:eastAsia="zh-CN"/>
        </w:rPr>
        <w:t>十、资源勘探工业信息等支出，指用于资源勘探、制造业、建筑业、工业信息等方面支出。</w:t>
      </w:r>
    </w:p>
    <w:p>
      <w:pPr>
        <w:pageBreakBefore w:val="0"/>
        <w:kinsoku/>
        <w:wordWrap/>
        <w:overflowPunct/>
        <w:topLinePunct w:val="0"/>
        <w:autoSpaceDE/>
        <w:bidi w:val="0"/>
        <w:adjustRightInd/>
        <w:snapToGrid/>
        <w:spacing w:line="576" w:lineRule="exact"/>
        <w:ind w:firstLine="640" w:firstLineChars="200"/>
        <w:textAlignment w:val="auto"/>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十一、中小企业发展专项，指用于支持中小企业公共服务体系和融资服务体系建设等方面的支出。</w:t>
      </w:r>
    </w:p>
    <w:p>
      <w:pPr>
        <w:pageBreakBefore w:val="0"/>
        <w:kinsoku/>
        <w:wordWrap/>
        <w:overflowPunct/>
        <w:topLinePunct w:val="0"/>
        <w:autoSpaceDE/>
        <w:bidi w:val="0"/>
        <w:adjustRightInd/>
        <w:snapToGrid/>
        <w:spacing w:line="576" w:lineRule="exact"/>
        <w:ind w:firstLine="640" w:firstLineChars="200"/>
        <w:textAlignment w:val="auto"/>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十二、住房改革支出，指行政事业单位用财政拨款资金和其他资金等安排的住房改革支出。</w:t>
      </w:r>
    </w:p>
    <w:p>
      <w:pPr>
        <w:pageBreakBefore w:val="0"/>
        <w:kinsoku/>
        <w:wordWrap/>
        <w:overflowPunct/>
        <w:topLinePunct w:val="0"/>
        <w:autoSpaceDE/>
        <w:bidi w:val="0"/>
        <w:adjustRightInd/>
        <w:snapToGrid/>
        <w:spacing w:line="576" w:lineRule="exact"/>
        <w:ind w:firstLine="640" w:firstLineChars="200"/>
        <w:textAlignment w:val="auto"/>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十三、住房公积金，指行政事业单位按人力资源和社会保障部、财政部规定的基本工资和津贴补贴以及规定比例为职工缴纳的住房公积金。</w:t>
      </w:r>
    </w:p>
    <w:p>
      <w:pPr>
        <w:pageBreakBefore w:val="0"/>
        <w:kinsoku/>
        <w:wordWrap/>
        <w:overflowPunct/>
        <w:topLinePunct w:val="0"/>
        <w:autoSpaceDE/>
        <w:bidi w:val="0"/>
        <w:adjustRightInd/>
        <w:snapToGrid/>
        <w:spacing w:line="576" w:lineRule="exact"/>
        <w:ind w:firstLine="640" w:firstLineChars="200"/>
        <w:textAlignment w:val="auto"/>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十四、购房补贴，指按房改政策规定的标准，行政事业单位向符合条件职工（含离退休人员）、军队（含武警）向转役复员离退休人员发放的用于购买住房的补贴。</w:t>
      </w:r>
    </w:p>
    <w:p>
      <w:pPr>
        <w:pageBreakBefore w:val="0"/>
        <w:kinsoku/>
        <w:wordWrap/>
        <w:overflowPunct/>
        <w:topLinePunct w:val="0"/>
        <w:autoSpaceDE/>
        <w:bidi w:val="0"/>
        <w:adjustRightInd/>
        <w:snapToGrid/>
        <w:spacing w:line="576" w:lineRule="exact"/>
        <w:ind w:firstLine="640" w:firstLineChars="200"/>
        <w:textAlignment w:val="auto"/>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十五、债务付息支出，指用于归还债务利息所发生的支出。</w:t>
      </w:r>
    </w:p>
    <w:p>
      <w:pPr>
        <w:pageBreakBefore w:val="0"/>
        <w:kinsoku/>
        <w:wordWrap/>
        <w:overflowPunct/>
        <w:topLinePunct w:val="0"/>
        <w:autoSpaceDE/>
        <w:bidi w:val="0"/>
        <w:adjustRightInd/>
        <w:snapToGrid/>
        <w:spacing w:line="576" w:lineRule="exact"/>
        <w:ind w:firstLine="640" w:firstLineChars="200"/>
        <w:textAlignment w:val="auto"/>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十六、地方政府一般债务付息支出，指用于归还一般债务利息所发生的支出。</w:t>
      </w:r>
    </w:p>
    <w:p>
      <w:pPr>
        <w:pageBreakBefore w:val="0"/>
        <w:kinsoku/>
        <w:wordWrap/>
        <w:overflowPunct/>
        <w:topLinePunct w:val="0"/>
        <w:autoSpaceDE/>
        <w:bidi w:val="0"/>
        <w:adjustRightInd/>
        <w:snapToGrid/>
        <w:spacing w:line="576" w:lineRule="exact"/>
        <w:textAlignment w:val="auto"/>
        <w:rPr>
          <w:sz w:val="32"/>
          <w:szCs w:val="32"/>
        </w:rPr>
      </w:pPr>
      <w:bookmarkStart w:id="27" w:name="_GoBack"/>
      <w:bookmarkEnd w:id="27"/>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altName w:val="方正楷体_GBK"/>
    <w:panose1 w:val="02010609060101010101"/>
    <w:charset w:val="86"/>
    <w:family w:val="auto"/>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ˎ̥">
    <w:altName w:val="汉仪新人文宋简"/>
    <w:panose1 w:val="00000000000000000000"/>
    <w:charset w:val="00"/>
    <w:family w:val="roman"/>
    <w:pitch w:val="default"/>
    <w:sig w:usb0="00000000" w:usb1="00000000" w:usb2="00000000" w:usb3="00000000" w:csb0="00040001"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21D8FED"/>
    <w:multiLevelType w:val="singleLevel"/>
    <w:tmpl w:val="421D8FED"/>
    <w:lvl w:ilvl="0" w:tentative="0">
      <w:start w:val="2"/>
      <w:numFmt w:val="chineseCounting"/>
      <w:lvlText w:val="（%1)"/>
      <w:lvlJc w:val="left"/>
      <w:pPr>
        <w:tabs>
          <w:tab w:val="left" w:pos="312"/>
        </w:tabs>
      </w:pPr>
      <w:rPr>
        <w:rFonts w:hint="eastAsia"/>
      </w:rPr>
    </w:lvl>
  </w:abstractNum>
  <w:abstractNum w:abstractNumId="1">
    <w:nsid w:val="6B80BDAD"/>
    <w:multiLevelType w:val="singleLevel"/>
    <w:tmpl w:val="6B80BDAD"/>
    <w:lvl w:ilvl="0" w:tentative="0">
      <w:start w:val="2"/>
      <w:numFmt w:val="chineseCounting"/>
      <w:suff w:val="nothing"/>
      <w:lvlText w:val="（%1）"/>
      <w:lvlJc w:val="left"/>
      <w:rPr>
        <w:rFonts w:hint="eastAsia" w:ascii="仿宋_GB2312" w:hAnsi="仿宋_GB2312" w:eastAsia="仿宋_GB2312" w:cs="仿宋_GB2312"/>
      </w:rPr>
    </w:lvl>
  </w:abstractNum>
  <w:abstractNum w:abstractNumId="2">
    <w:nsid w:val="7144D268"/>
    <w:multiLevelType w:val="singleLevel"/>
    <w:tmpl w:val="7144D268"/>
    <w:lvl w:ilvl="0" w:tentative="0">
      <w:start w:val="8"/>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ZhZWZjZTdiOTUwZTUxZjFhNTdjZDg2ZmNhZjNmZGYifQ=="/>
  </w:docVars>
  <w:rsids>
    <w:rsidRoot w:val="56F12EEA"/>
    <w:rsid w:val="00362CB3"/>
    <w:rsid w:val="01172A03"/>
    <w:rsid w:val="01732162"/>
    <w:rsid w:val="02AD361F"/>
    <w:rsid w:val="034C108A"/>
    <w:rsid w:val="054364BD"/>
    <w:rsid w:val="057E12A3"/>
    <w:rsid w:val="05B9677F"/>
    <w:rsid w:val="05BB6053"/>
    <w:rsid w:val="05DD246D"/>
    <w:rsid w:val="05EE745E"/>
    <w:rsid w:val="06007F0A"/>
    <w:rsid w:val="06383B48"/>
    <w:rsid w:val="063A04B2"/>
    <w:rsid w:val="066D3161"/>
    <w:rsid w:val="08316AA1"/>
    <w:rsid w:val="08C416C3"/>
    <w:rsid w:val="08F04266"/>
    <w:rsid w:val="09E826D9"/>
    <w:rsid w:val="0B3348DE"/>
    <w:rsid w:val="0BBC0D77"/>
    <w:rsid w:val="0D4C3218"/>
    <w:rsid w:val="0DA27AF9"/>
    <w:rsid w:val="0ED31462"/>
    <w:rsid w:val="0EE303C9"/>
    <w:rsid w:val="0EF34AB0"/>
    <w:rsid w:val="0FC42DD0"/>
    <w:rsid w:val="10030D22"/>
    <w:rsid w:val="10512866"/>
    <w:rsid w:val="114F1D45"/>
    <w:rsid w:val="1390458D"/>
    <w:rsid w:val="13A04ADA"/>
    <w:rsid w:val="150317C5"/>
    <w:rsid w:val="158F12AA"/>
    <w:rsid w:val="159B37AB"/>
    <w:rsid w:val="15CF16A7"/>
    <w:rsid w:val="15DD2AC8"/>
    <w:rsid w:val="167B1BF4"/>
    <w:rsid w:val="16C3745D"/>
    <w:rsid w:val="172E32FA"/>
    <w:rsid w:val="185D224E"/>
    <w:rsid w:val="187446C5"/>
    <w:rsid w:val="188B7B07"/>
    <w:rsid w:val="18F90F15"/>
    <w:rsid w:val="19753ABF"/>
    <w:rsid w:val="19DC45CD"/>
    <w:rsid w:val="19FB0CBC"/>
    <w:rsid w:val="1CD239BF"/>
    <w:rsid w:val="1D077978"/>
    <w:rsid w:val="1D0A7474"/>
    <w:rsid w:val="1DF93765"/>
    <w:rsid w:val="1E5B441F"/>
    <w:rsid w:val="1EF02DBA"/>
    <w:rsid w:val="1F7F413E"/>
    <w:rsid w:val="1FED554B"/>
    <w:rsid w:val="1FFB37C4"/>
    <w:rsid w:val="20B428CD"/>
    <w:rsid w:val="20C93714"/>
    <w:rsid w:val="215A276C"/>
    <w:rsid w:val="21C8689A"/>
    <w:rsid w:val="22071231"/>
    <w:rsid w:val="22244B28"/>
    <w:rsid w:val="22C75BE0"/>
    <w:rsid w:val="22EA0A5D"/>
    <w:rsid w:val="233373B7"/>
    <w:rsid w:val="23CB7951"/>
    <w:rsid w:val="24661428"/>
    <w:rsid w:val="259A0152"/>
    <w:rsid w:val="26812549"/>
    <w:rsid w:val="28201F93"/>
    <w:rsid w:val="2A352AA0"/>
    <w:rsid w:val="2AB70C30"/>
    <w:rsid w:val="2BED417C"/>
    <w:rsid w:val="2BEE242F"/>
    <w:rsid w:val="2C4C35F9"/>
    <w:rsid w:val="2C5373D8"/>
    <w:rsid w:val="2C5E5EAB"/>
    <w:rsid w:val="2C8763E0"/>
    <w:rsid w:val="2CC47634"/>
    <w:rsid w:val="2CE11F94"/>
    <w:rsid w:val="2E725599"/>
    <w:rsid w:val="2E8C4181"/>
    <w:rsid w:val="2FAB0637"/>
    <w:rsid w:val="30036C37"/>
    <w:rsid w:val="31AF6B99"/>
    <w:rsid w:val="3220355E"/>
    <w:rsid w:val="3239017C"/>
    <w:rsid w:val="33F97BC3"/>
    <w:rsid w:val="343B467F"/>
    <w:rsid w:val="345D45F6"/>
    <w:rsid w:val="34D10C3C"/>
    <w:rsid w:val="3615180B"/>
    <w:rsid w:val="36455341"/>
    <w:rsid w:val="3680281D"/>
    <w:rsid w:val="36CB2829"/>
    <w:rsid w:val="383D7270"/>
    <w:rsid w:val="39455658"/>
    <w:rsid w:val="3B7301E1"/>
    <w:rsid w:val="3C351466"/>
    <w:rsid w:val="3CAB6A62"/>
    <w:rsid w:val="3D55049D"/>
    <w:rsid w:val="3D7F382F"/>
    <w:rsid w:val="3DEE62BF"/>
    <w:rsid w:val="3DFA4F26"/>
    <w:rsid w:val="3E365895"/>
    <w:rsid w:val="3E9C061B"/>
    <w:rsid w:val="3EF75647"/>
    <w:rsid w:val="3F310045"/>
    <w:rsid w:val="3F480C2C"/>
    <w:rsid w:val="3F634A8A"/>
    <w:rsid w:val="401A5180"/>
    <w:rsid w:val="402C30CE"/>
    <w:rsid w:val="40AB5008"/>
    <w:rsid w:val="40DF348E"/>
    <w:rsid w:val="414538EA"/>
    <w:rsid w:val="414C3A28"/>
    <w:rsid w:val="41CD7503"/>
    <w:rsid w:val="41D91034"/>
    <w:rsid w:val="42734FE4"/>
    <w:rsid w:val="42AB29D0"/>
    <w:rsid w:val="42AC7633"/>
    <w:rsid w:val="431C567C"/>
    <w:rsid w:val="439D290F"/>
    <w:rsid w:val="43A50BB6"/>
    <w:rsid w:val="43B16C14"/>
    <w:rsid w:val="45462EBA"/>
    <w:rsid w:val="45AA51C1"/>
    <w:rsid w:val="45E5269D"/>
    <w:rsid w:val="467632F5"/>
    <w:rsid w:val="46DC75FC"/>
    <w:rsid w:val="47E37174"/>
    <w:rsid w:val="48691363"/>
    <w:rsid w:val="48B63D4E"/>
    <w:rsid w:val="48B925E2"/>
    <w:rsid w:val="492B486B"/>
    <w:rsid w:val="49555444"/>
    <w:rsid w:val="4ADF3B5F"/>
    <w:rsid w:val="4B30411A"/>
    <w:rsid w:val="4B4E65EF"/>
    <w:rsid w:val="4C49294B"/>
    <w:rsid w:val="4F310701"/>
    <w:rsid w:val="4F4A3571"/>
    <w:rsid w:val="4F8C3B89"/>
    <w:rsid w:val="4FC9C579"/>
    <w:rsid w:val="505B56C4"/>
    <w:rsid w:val="507F724A"/>
    <w:rsid w:val="50D800DF"/>
    <w:rsid w:val="523E73BD"/>
    <w:rsid w:val="524F431A"/>
    <w:rsid w:val="52853C80"/>
    <w:rsid w:val="53165C44"/>
    <w:rsid w:val="53DA60A6"/>
    <w:rsid w:val="548C1C35"/>
    <w:rsid w:val="54A436A8"/>
    <w:rsid w:val="54C632F0"/>
    <w:rsid w:val="554051FA"/>
    <w:rsid w:val="55A75279"/>
    <w:rsid w:val="56F12EEA"/>
    <w:rsid w:val="56FA762A"/>
    <w:rsid w:val="57835872"/>
    <w:rsid w:val="585039A6"/>
    <w:rsid w:val="58C03462"/>
    <w:rsid w:val="58E34772"/>
    <w:rsid w:val="59556B00"/>
    <w:rsid w:val="595C6FA3"/>
    <w:rsid w:val="598C4EB2"/>
    <w:rsid w:val="5ADB0261"/>
    <w:rsid w:val="5B085DFD"/>
    <w:rsid w:val="5B321A89"/>
    <w:rsid w:val="5C35109A"/>
    <w:rsid w:val="5C955628"/>
    <w:rsid w:val="5C966047"/>
    <w:rsid w:val="5CB00EB7"/>
    <w:rsid w:val="5E0F7E5F"/>
    <w:rsid w:val="5E1A42E3"/>
    <w:rsid w:val="5E323B53"/>
    <w:rsid w:val="5E3A0053"/>
    <w:rsid w:val="5E423DD6"/>
    <w:rsid w:val="5E8048B9"/>
    <w:rsid w:val="5F701D88"/>
    <w:rsid w:val="5F9920D6"/>
    <w:rsid w:val="5FD924D3"/>
    <w:rsid w:val="603C0CB4"/>
    <w:rsid w:val="605B5775"/>
    <w:rsid w:val="608F7035"/>
    <w:rsid w:val="60E06B4B"/>
    <w:rsid w:val="610C280B"/>
    <w:rsid w:val="618B21EC"/>
    <w:rsid w:val="619F599E"/>
    <w:rsid w:val="62285994"/>
    <w:rsid w:val="622D6B06"/>
    <w:rsid w:val="62395736"/>
    <w:rsid w:val="626A7D5A"/>
    <w:rsid w:val="62B51BE6"/>
    <w:rsid w:val="62CF4061"/>
    <w:rsid w:val="6408782B"/>
    <w:rsid w:val="649C7F73"/>
    <w:rsid w:val="65A96DEB"/>
    <w:rsid w:val="65F20BCA"/>
    <w:rsid w:val="65F31E85"/>
    <w:rsid w:val="662F5543"/>
    <w:rsid w:val="6672542F"/>
    <w:rsid w:val="66E31E89"/>
    <w:rsid w:val="66E618E5"/>
    <w:rsid w:val="673256C2"/>
    <w:rsid w:val="67584625"/>
    <w:rsid w:val="67B657F0"/>
    <w:rsid w:val="67D77C40"/>
    <w:rsid w:val="69FA4659"/>
    <w:rsid w:val="6ACD7307"/>
    <w:rsid w:val="6B8B0765"/>
    <w:rsid w:val="6C501D6F"/>
    <w:rsid w:val="6CBC6D31"/>
    <w:rsid w:val="6D6261FE"/>
    <w:rsid w:val="6DB135BE"/>
    <w:rsid w:val="6E3F02ED"/>
    <w:rsid w:val="6F6A3147"/>
    <w:rsid w:val="6FCE7B7A"/>
    <w:rsid w:val="70603DAB"/>
    <w:rsid w:val="706757B0"/>
    <w:rsid w:val="707D6A8A"/>
    <w:rsid w:val="72E45749"/>
    <w:rsid w:val="73104006"/>
    <w:rsid w:val="73375A36"/>
    <w:rsid w:val="735C549D"/>
    <w:rsid w:val="7439758C"/>
    <w:rsid w:val="74F47D26"/>
    <w:rsid w:val="75BA65AB"/>
    <w:rsid w:val="76E5526E"/>
    <w:rsid w:val="76E804EE"/>
    <w:rsid w:val="778E5E41"/>
    <w:rsid w:val="77D666C2"/>
    <w:rsid w:val="77E12415"/>
    <w:rsid w:val="77F03551"/>
    <w:rsid w:val="79376DC1"/>
    <w:rsid w:val="795254E4"/>
    <w:rsid w:val="795D1F6F"/>
    <w:rsid w:val="79B0209F"/>
    <w:rsid w:val="79F53F55"/>
    <w:rsid w:val="7B851309"/>
    <w:rsid w:val="7CA83501"/>
    <w:rsid w:val="7CEC1640"/>
    <w:rsid w:val="7CEF1130"/>
    <w:rsid w:val="7D4D5E56"/>
    <w:rsid w:val="7DAF266D"/>
    <w:rsid w:val="7E4D3EF4"/>
    <w:rsid w:val="7F1839F6"/>
    <w:rsid w:val="7F625BE9"/>
    <w:rsid w:val="7F7E32BC"/>
    <w:rsid w:val="9DFDB487"/>
    <w:rsid w:val="FB6C75E6"/>
    <w:rsid w:val="FBFA51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after="330" w:afterLines="0" w:line="578" w:lineRule="auto"/>
      <w:outlineLvl w:val="0"/>
    </w:pPr>
    <w:rPr>
      <w:b/>
      <w:bCs/>
      <w:kern w:val="44"/>
      <w:sz w:val="44"/>
      <w:szCs w:val="44"/>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Normal (Web)"/>
    <w:basedOn w:val="1"/>
    <w:qFormat/>
    <w:uiPriority w:val="0"/>
    <w:pPr>
      <w:widowControl/>
      <w:spacing w:before="100" w:beforeLines="0" w:beforeAutospacing="1" w:after="100" w:afterLines="0" w:afterAutospacing="1"/>
    </w:pPr>
    <w:rPr>
      <w:rFonts w:ascii="宋体" w:hAnsi="宋体" w:eastAsia="宋体" w:cs="宋体"/>
      <w:kern w:val="0"/>
      <w:sz w:val="24"/>
      <w:szCs w:val="24"/>
    </w:rPr>
  </w:style>
  <w:style w:type="paragraph" w:customStyle="1" w:styleId="11">
    <w:name w:val="WPSOffice手动目录 1"/>
    <w:qFormat/>
    <w:uiPriority w:val="0"/>
    <w:pPr>
      <w:ind w:leftChars="0"/>
    </w:pPr>
    <w:rPr>
      <w:rFonts w:asciiTheme="minorHAnsi" w:hAnsiTheme="minorHAnsi" w:eastAsiaTheme="minorEastAsia" w:cstheme="minorBidi"/>
      <w:sz w:val="20"/>
      <w:szCs w:val="20"/>
    </w:rPr>
  </w:style>
  <w:style w:type="paragraph" w:customStyle="1" w:styleId="12">
    <w:name w:val="WPSOffice手动目录 2"/>
    <w:qFormat/>
    <w:uiPriority w:val="0"/>
    <w:pPr>
      <w:ind w:leftChars="2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5388</Words>
  <Characters>5914</Characters>
  <Lines>0</Lines>
  <Paragraphs>0</Paragraphs>
  <TotalTime>43</TotalTime>
  <ScaleCrop>false</ScaleCrop>
  <LinksUpToDate>false</LinksUpToDate>
  <CharactersWithSpaces>6006</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2022-11-22T11:13:00Z</dcterms:created>
  <dc:creator>Administrator</dc:creator>
  <cp:lastModifiedBy>user</cp:lastModifiedBy>
  <cp:lastPrinted>2025-10-18T12:24:00Z</cp:lastPrinted>
  <dcterms:modified xsi:type="dcterms:W3CDTF">2025-10-24T18:00:43Z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A1A3DFD1FC944B01AA50019696A3444C</vt:lpwstr>
  </property>
</Properties>
</file>