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eastAsia="zh-CN"/>
        </w:rPr>
        <w:t>委</w:t>
      </w:r>
      <w:r>
        <w:rPr>
          <w:rFonts w:hint="eastAsia" w:asciiTheme="majorEastAsia" w:hAnsiTheme="majorEastAsia" w:eastAsiaTheme="majorEastAsia" w:cstheme="majorEastAsia"/>
          <w:b/>
          <w:bCs/>
          <w:color w:val="auto"/>
          <w:sz w:val="44"/>
          <w:szCs w:val="44"/>
        </w:rPr>
        <w:t>组织部2024年度部门决算公开报告</w:t>
      </w:r>
    </w:p>
    <w:p>
      <w:pPr>
        <w:spacing w:line="578" w:lineRule="exact"/>
        <w:jc w:val="center"/>
        <w:rPr>
          <w:rFonts w:hint="eastAsia" w:asciiTheme="majorEastAsia" w:hAnsiTheme="majorEastAsia" w:eastAsiaTheme="majorEastAsia" w:cstheme="majorEastAsia"/>
          <w:b/>
          <w:bCs/>
          <w:color w:val="auto"/>
          <w:sz w:val="44"/>
          <w:szCs w:val="44"/>
        </w:rPr>
      </w:pP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23"/>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23"/>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23"/>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24"/>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24"/>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23"/>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720_WPSOffice_Level1"/>
      <w:bookmarkStart w:id="3" w:name="_Toc10049_WPSOffice_Level1"/>
      <w:bookmarkStart w:id="4" w:name="_Toc1704_WPSOffice_Level1"/>
      <w:bookmarkStart w:id="5" w:name="_Toc22941_WPSOffice_Level1"/>
      <w:bookmarkStart w:id="6" w:name="_Toc32433_WPSOffice_Level1"/>
      <w:bookmarkStart w:id="7" w:name="_Toc23465_WPSOffice_Level1"/>
      <w:bookmarkStart w:id="8" w:name="_Toc24238_WPSOffice_Level2"/>
      <w:bookmarkStart w:id="9" w:name="_Toc32622_WPSOffice_Level2"/>
      <w:bookmarkStart w:id="10" w:name="_Toc20274_WPSOffice_Level2"/>
      <w:bookmarkStart w:id="11" w:name="_Toc14159_WPSOffice_Level2"/>
      <w:bookmarkStart w:id="12" w:name="_Toc20205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职责</w:t>
      </w:r>
      <w:bookmarkEnd w:id="9"/>
      <w:bookmarkEnd w:id="10"/>
      <w:bookmarkEnd w:id="11"/>
      <w:bookmarkEnd w:id="12"/>
      <w:bookmarkEnd w:id="13"/>
    </w:p>
    <w:p>
      <w:pPr>
        <w:numPr>
          <w:ilvl w:val="0"/>
          <w:numId w:val="0"/>
        </w:num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中共墨脱县委员会组织部是县委主管全县组织工作的工作机关，为正科级，加挂县委编办、县委老干部局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县公务员局牌子。</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根据党的路线、方针、政策和</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、市、县委的安排部署，研究制定全县组织工作、干部工作、人才工作的政策、规划和方案，提出具体措施，并组织实施、督促检查。</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指导和检查全县党组织特别是党的基层组织建设工作，以及各类新的社会经济组织中党组织的设置和活动，督促检查各级党组织坚持和健全党的组织制度；调查分析全县党员队伍状况，协调、规划和指导全县党员教育工作，指导基层党组织做好党员管理和组织发展工作。</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照市、县委的决定、指示，负责县管领导班子和领导干部的考核考察、调整配备、选拔任用工作，承办县管干部的调动、任免、待遇、退（离）休审批等事宜；指导培养选拔年轻干部、少数民族干部、党外干部和女干部工作</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负责指导全县后备干部队伍建设工作，制定全县科级后备干部队伍建设的规划和管理办法，管理县管后备干部。</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负责指导检查全县各级领导班子的思想政治建设，研究制定并组织实施全县干部教育培训规划；指导全县干部教育培训基地建设，师资队伍建设工作。</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负责研究指导和组织实施全县干部人事制度的改革，协调指导和组织管理县内与县外干部的交流工作；在市委组织部的指导下，承办市管干部有关事宜。</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管理全县退（离）休干部工作，指导、督促落实老干部政策，协调落实老干部的政治和生活待遇。</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组织开展干部驻村工作，研究和提出加强改进干部驻村工作的政策规定。</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统一管理公务员调配、考核奖惩、培训和工资福利等</w:t>
      </w:r>
      <w:r>
        <w:rPr>
          <w:rFonts w:hint="eastAsia" w:ascii="仿宋_GB2312" w:hAnsi="仿宋_GB2312" w:eastAsia="仿宋_GB2312" w:cs="仿宋_GB2312"/>
          <w:color w:val="auto"/>
          <w:sz w:val="32"/>
          <w:szCs w:val="32"/>
          <w:lang w:eastAsia="zh-CN"/>
        </w:rPr>
        <w:t>工作。</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olor w:val="auto"/>
          <w:sz w:val="32"/>
          <w:lang w:eastAsia="zh-CN"/>
        </w:rPr>
      </w:pPr>
      <w:r>
        <w:rPr>
          <w:rFonts w:hint="eastAsia" w:ascii="仿宋_GB2312" w:hAnsi="仿宋_GB2312" w:eastAsia="仿宋_GB2312"/>
          <w:color w:val="auto"/>
          <w:sz w:val="32"/>
          <w:lang w:val="en-US" w:eastAsia="zh-CN"/>
        </w:rPr>
        <w:t>10.</w:t>
      </w:r>
      <w:r>
        <w:rPr>
          <w:rFonts w:hint="eastAsia" w:ascii="仿宋_GB2312" w:hAnsi="仿宋_GB2312" w:eastAsia="仿宋_GB2312"/>
          <w:color w:val="auto"/>
          <w:sz w:val="32"/>
        </w:rPr>
        <w:t>拟订全县干部监督、审查的有关规定，负责县委管理干部的监督、审查工作</w:t>
      </w:r>
      <w:r>
        <w:rPr>
          <w:rFonts w:hint="eastAsia" w:ascii="仿宋_GB2312" w:hAnsi="仿宋_GB2312" w:eastAsia="仿宋_GB2312"/>
          <w:color w:val="auto"/>
          <w:sz w:val="32"/>
          <w:lang w:eastAsia="zh-CN"/>
        </w:rPr>
        <w:t>。</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olor w:val="auto"/>
          <w:sz w:val="32"/>
        </w:rPr>
      </w:pPr>
      <w:r>
        <w:rPr>
          <w:rFonts w:hint="eastAsia" w:ascii="仿宋_GB2312" w:hAnsi="仿宋_GB2312" w:eastAsia="仿宋_GB2312"/>
          <w:color w:val="auto"/>
          <w:sz w:val="32"/>
          <w:lang w:val="en-US" w:eastAsia="zh-CN"/>
        </w:rPr>
        <w:t>11.</w:t>
      </w:r>
      <w:r>
        <w:rPr>
          <w:rFonts w:hint="eastAsia" w:ascii="仿宋_GB2312" w:hAnsi="仿宋_GB2312" w:eastAsia="仿宋_GB2312"/>
          <w:color w:val="auto"/>
          <w:sz w:val="32"/>
        </w:rPr>
        <w:t>负责对口支援干部人才和医疗、教育人才组团式援藏综合管理工作</w:t>
      </w:r>
      <w:r>
        <w:rPr>
          <w:rFonts w:hint="eastAsia" w:ascii="仿宋_GB2312" w:hAnsi="仿宋_GB2312" w:eastAsia="仿宋_GB2312"/>
          <w:color w:val="auto"/>
          <w:sz w:val="32"/>
          <w:lang w:eastAsia="zh-CN"/>
        </w:rPr>
        <w:t>。</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olor w:val="auto"/>
          <w:sz w:val="32"/>
        </w:rPr>
      </w:pPr>
      <w:r>
        <w:rPr>
          <w:rFonts w:hint="eastAsia" w:ascii="仿宋_GB2312" w:hAnsi="仿宋_GB2312" w:eastAsia="仿宋_GB2312"/>
          <w:color w:val="auto"/>
          <w:sz w:val="32"/>
          <w:lang w:val="en-US" w:eastAsia="zh-CN"/>
        </w:rPr>
        <w:t>12.</w:t>
      </w:r>
      <w:r>
        <w:rPr>
          <w:rFonts w:hint="eastAsia" w:ascii="仿宋_GB2312" w:hAnsi="仿宋_GB2312" w:eastAsia="仿宋_GB2312"/>
          <w:color w:val="auto"/>
          <w:sz w:val="32"/>
        </w:rPr>
        <w:t>统一管理机构编制委员会办公室。</w:t>
      </w:r>
    </w:p>
    <w:p>
      <w:pPr>
        <w:keepNext w:val="0"/>
        <w:keepLines w:val="0"/>
        <w:pageBreakBefore w:val="0"/>
        <w:kinsoku/>
        <w:wordWrap/>
        <w:overflowPunct/>
        <w:topLinePunct w:val="0"/>
        <w:autoSpaceDE/>
        <w:bidi w:val="0"/>
        <w:adjustRightInd/>
        <w:snapToGrid/>
        <w:spacing w:line="560" w:lineRule="exact"/>
        <w:ind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eastAsia="仿宋_GB2312"/>
          <w:color w:val="auto"/>
          <w:sz w:val="32"/>
          <w:lang w:val="en-US" w:eastAsia="zh-CN"/>
        </w:rPr>
        <w:t>13.</w:t>
      </w:r>
      <w:r>
        <w:rPr>
          <w:rFonts w:hint="eastAsia" w:ascii="仿宋_GB2312" w:hAnsi="仿宋_GB2312" w:eastAsia="仿宋_GB2312"/>
          <w:color w:val="auto"/>
          <w:sz w:val="32"/>
        </w:rPr>
        <w:t>完成县委和县委编委交办的其他任务。</w:t>
      </w:r>
    </w:p>
    <w:p>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24059_WPSOffice_Level2"/>
      <w:bookmarkStart w:id="16" w:name="_Toc24474_WPSOffice_Level2"/>
      <w:bookmarkStart w:id="17" w:name="_Toc6572_WPSOffice_Level2"/>
      <w:bookmarkStart w:id="18" w:name="_Toc4833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墨脱县委组织部</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个，包括：</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黑体" w:hAnsi="ˎ̥" w:eastAsia="黑体"/>
          <w:color w:val="auto"/>
          <w:sz w:val="32"/>
          <w:szCs w:val="32"/>
        </w:rPr>
      </w:pPr>
      <w:bookmarkStart w:id="19" w:name="_Toc8164_WPSOffice_Level1"/>
      <w:bookmarkStart w:id="20" w:name="_Toc30451_WPSOffice_Level1"/>
      <w:bookmarkStart w:id="21" w:name="_Toc30690_WPSOffice_Level1"/>
      <w:bookmarkStart w:id="22" w:name="_Toc15521_WPSOffice_Level1"/>
      <w:bookmarkStart w:id="23" w:name="_Toc6234_WPSOffice_Level1"/>
      <w:bookmarkStart w:id="24" w:name="_Toc28253_WPSOffice_Level1"/>
      <w:bookmarkStart w:id="25" w:name="_Toc4029_WPSOffice_Level2"/>
      <w:bookmarkStart w:id="26" w:name="_Toc8867_WPSOffice_Level2"/>
      <w:bookmarkStart w:id="27" w:name="_Toc32695_WPSOffice_Level2"/>
      <w:bookmarkStart w:id="28" w:name="_Toc11518_WPSOffice_Level2"/>
      <w:bookmarkStart w:id="29" w:name="_Toc32472_WPSOffice_Level2"/>
      <w:bookmarkStart w:id="30" w:name="_Toc6211_WPSOffice_Level2"/>
      <w:r>
        <w:rPr>
          <w:rFonts w:hint="eastAsia" w:ascii="仿宋_GB2312" w:hAnsi="仿宋_GB2312" w:eastAsia="仿宋_GB2312" w:cs="仿宋_GB2312"/>
          <w:color w:val="auto"/>
          <w:sz w:val="32"/>
          <w:szCs w:val="32"/>
        </w:rPr>
        <w:t>中共墨脱县委员会组织部（以下简称县委组织部）</w:t>
      </w:r>
      <w:r>
        <w:rPr>
          <w:rFonts w:hint="eastAsia" w:ascii="仿宋_GB2312" w:hAnsi="仿宋_GB2312" w:eastAsia="仿宋_GB2312" w:cs="仿宋_GB2312"/>
          <w:color w:val="auto"/>
          <w:sz w:val="32"/>
          <w:szCs w:val="32"/>
          <w:lang w:eastAsia="zh-CN"/>
        </w:rPr>
        <w:t>挂牌</w:t>
      </w:r>
      <w:r>
        <w:rPr>
          <w:rFonts w:hint="eastAsia" w:ascii="仿宋_GB2312" w:hAnsi="宋体" w:eastAsia="仿宋_GB2312"/>
          <w:color w:val="auto"/>
          <w:sz w:val="32"/>
          <w:szCs w:val="32"/>
        </w:rPr>
        <w:t>机构3个，为</w:t>
      </w:r>
      <w:r>
        <w:rPr>
          <w:rFonts w:hint="eastAsia" w:ascii="仿宋_GB2312" w:hAnsi="仿宋_GB2312" w:eastAsia="仿宋_GB2312" w:cs="仿宋_GB2312"/>
          <w:color w:val="auto"/>
          <w:sz w:val="32"/>
          <w:szCs w:val="32"/>
        </w:rPr>
        <w:t>中共墨脱县委员会机构编制委员会办公室、县公务员局、县委老干部局</w:t>
      </w:r>
      <w:r>
        <w:rPr>
          <w:rFonts w:hint="eastAsia" w:ascii="仿宋_GB2312" w:hAnsi="仿宋_GB2312" w:eastAsia="仿宋_GB2312" w:cs="仿宋_GB2312"/>
          <w:color w:val="auto"/>
          <w:sz w:val="32"/>
          <w:szCs w:val="32"/>
          <w:lang w:eastAsia="zh-CN"/>
        </w:rPr>
        <w:t>。中共墨脱县委党校挂牌机构为</w:t>
      </w:r>
      <w:r>
        <w:rPr>
          <w:rFonts w:hint="eastAsia" w:ascii="仿宋_GB2312" w:hAnsi="仿宋_GB2312" w:eastAsia="仿宋_GB2312" w:cs="仿宋_GB2312"/>
          <w:color w:val="auto"/>
          <w:sz w:val="32"/>
          <w:szCs w:val="32"/>
          <w:lang w:val="en-US" w:eastAsia="zh-CN"/>
        </w:rPr>
        <w:t>1个，为墨脱县行政学校</w:t>
      </w:r>
      <w:r>
        <w:rPr>
          <w:rFonts w:hint="eastAsia" w:ascii="仿宋_GB2312" w:hAnsi="宋体" w:eastAsia="仿宋_GB2312"/>
          <w:color w:val="auto"/>
          <w:sz w:val="32"/>
          <w:szCs w:val="32"/>
        </w:rPr>
        <w:t>。</w:t>
      </w:r>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30334_WPSOffice_Level2"/>
      <w:bookmarkStart w:id="32" w:name="_Toc26621_WPSOffice_Level2"/>
      <w:bookmarkStart w:id="33" w:name="_Toc14349_WPSOffice_Level2"/>
      <w:bookmarkStart w:id="34" w:name="_Toc28622_WPSOffice_Level2"/>
      <w:bookmarkStart w:id="35" w:name="_Toc25608_WPSOffice_Level2"/>
      <w:bookmarkStart w:id="36" w:name="_Toc23139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858_WPSOffice_Level2"/>
      <w:bookmarkStart w:id="38" w:name="_Toc17626_WPSOffice_Level2"/>
      <w:bookmarkStart w:id="39" w:name="_Toc14658_WPSOffice_Level2"/>
      <w:bookmarkStart w:id="40" w:name="_Toc3262_WPSOffice_Level2"/>
      <w:bookmarkStart w:id="41" w:name="_Toc13854_WPSOffice_Level2"/>
      <w:bookmarkStart w:id="42" w:name="_Toc5489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7988_WPSOffice_Level2"/>
      <w:bookmarkStart w:id="44" w:name="_Toc23591_WPSOffice_Level2"/>
      <w:bookmarkStart w:id="45" w:name="_Toc13701_WPSOffice_Level2"/>
      <w:bookmarkStart w:id="46" w:name="_Toc4265_WPSOffice_Level2"/>
      <w:bookmarkStart w:id="47" w:name="_Toc21415_WPSOffice_Level2"/>
      <w:bookmarkStart w:id="48" w:name="_Toc2349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22783_WPSOffice_Level2"/>
      <w:bookmarkStart w:id="50" w:name="_Toc7879_WPSOffice_Level2"/>
      <w:bookmarkStart w:id="51" w:name="_Toc23829_WPSOffice_Level2"/>
      <w:bookmarkStart w:id="52" w:name="_Toc25166_WPSOffice_Level2"/>
      <w:bookmarkStart w:id="53" w:name="_Toc13516_WPSOffice_Level2"/>
      <w:bookmarkStart w:id="54" w:name="_Toc2158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5343_WPSOffice_Level2"/>
      <w:bookmarkStart w:id="56" w:name="_Toc17833_WPSOffice_Level2"/>
      <w:bookmarkStart w:id="57" w:name="_Toc2632_WPSOffice_Level2"/>
      <w:bookmarkStart w:id="58" w:name="_Toc17283_WPSOffice_Level2"/>
      <w:bookmarkStart w:id="59" w:name="_Toc8373_WPSOffice_Level2"/>
      <w:bookmarkStart w:id="60" w:name="_Toc253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1533_WPSOffice_Level2"/>
      <w:bookmarkStart w:id="62" w:name="_Toc21310_WPSOffice_Level2"/>
      <w:bookmarkStart w:id="63" w:name="_Toc5594_WPSOffice_Level2"/>
      <w:bookmarkStart w:id="64" w:name="_Toc13345_WPSOffice_Level2"/>
      <w:bookmarkStart w:id="65" w:name="_Toc6020_WPSOffice_Level2"/>
      <w:bookmarkStart w:id="66" w:name="_Toc11799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1820_WPSOffice_Level2"/>
      <w:bookmarkStart w:id="68" w:name="_Toc9377_WPSOffice_Level2"/>
      <w:bookmarkStart w:id="69" w:name="_Toc19961_WPSOffice_Level2"/>
      <w:bookmarkStart w:id="70" w:name="_Toc29886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以上报表见附件1。</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16686_WPSOffice_Level1"/>
      <w:bookmarkStart w:id="72" w:name="_Toc28629_WPSOffice_Level1"/>
      <w:bookmarkStart w:id="73" w:name="_Toc29683_WPSOffice_Level1"/>
      <w:bookmarkStart w:id="74" w:name="_Toc4402_WPSOffice_Level1"/>
      <w:bookmarkStart w:id="75" w:name="_Toc27590_WPSOffice_Level1"/>
      <w:bookmarkStart w:id="76" w:name="_Toc31264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4,056.46</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4,056.46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年度相比，收入、支出总计各减少</w:t>
      </w:r>
      <w:r>
        <w:rPr>
          <w:rFonts w:hint="eastAsia" w:ascii="仿宋" w:hAnsi="仿宋" w:eastAsia="仿宋"/>
          <w:color w:val="auto"/>
          <w:sz w:val="32"/>
          <w:szCs w:val="32"/>
          <w:lang w:val="en-US" w:eastAsia="zh-CN"/>
        </w:rPr>
        <w:t>64.06</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1.58</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部分项目经费由乡镇负责申报</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4,030.50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64.06</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eastAsia="zh-CN"/>
        </w:rPr>
        <w:t>部分项目经费由乡镇负责申报</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25.96</w:t>
      </w:r>
      <w:r>
        <w:rPr>
          <w:rFonts w:hint="eastAsia" w:ascii="仿宋_GB2312" w:hAnsi="ˎ̥" w:eastAsia="仿宋_GB2312"/>
          <w:color w:val="auto"/>
          <w:sz w:val="32"/>
          <w:szCs w:val="32"/>
        </w:rPr>
        <w:t>万元，主要是德尔贡村摩托车巡边驿站经费</w:t>
      </w:r>
      <w:r>
        <w:rPr>
          <w:rFonts w:hint="eastAsia" w:ascii="仿宋_GB2312" w:hAnsi="ˎ̥" w:eastAsia="仿宋_GB2312"/>
          <w:color w:val="auto"/>
          <w:sz w:val="32"/>
          <w:szCs w:val="32"/>
          <w:lang w:eastAsia="zh-CN"/>
        </w:rPr>
        <w:t>为存量资金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25.96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根据项目实施进度，</w:t>
      </w:r>
      <w:r>
        <w:rPr>
          <w:rFonts w:hint="eastAsia" w:ascii="仿宋_GB2312" w:hAnsi="ˎ̥" w:eastAsia="仿宋_GB2312"/>
          <w:color w:val="auto"/>
          <w:sz w:val="32"/>
          <w:szCs w:val="32"/>
        </w:rPr>
        <w:t>德尔贡村摩托车巡边驿站经费</w:t>
      </w:r>
      <w:r>
        <w:rPr>
          <w:rFonts w:hint="eastAsia" w:ascii="仿宋_GB2312" w:hAnsi="ˎ̥" w:eastAsia="仿宋_GB2312"/>
          <w:color w:val="auto"/>
          <w:sz w:val="32"/>
          <w:szCs w:val="32"/>
          <w:lang w:val="en-US" w:eastAsia="zh-CN"/>
        </w:rPr>
        <w:t>需结转2024年继续使用</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4,056.46</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64.06</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1.58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部分项目经费由乡镇负责申报</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4,030.50</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4,030.50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4,056.46</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1,127.78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27.80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2,928.68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72.20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4,030.50</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4,056.46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90.02</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2.18</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人员经费减少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部分项目经费由乡镇负责申报</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64.06</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1.55</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部分项目经费由乡镇负责申报</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25.96</w:t>
      </w:r>
      <w:r>
        <w:rPr>
          <w:rFonts w:hint="eastAsia" w:ascii="仿宋_GB2312" w:hAnsi="ˎ̥" w:eastAsia="仿宋_GB2312"/>
          <w:color w:val="auto"/>
          <w:sz w:val="32"/>
          <w:szCs w:val="32"/>
        </w:rPr>
        <w:t>万元，主要是德尔贡村摩托车巡边驿站经费</w:t>
      </w:r>
      <w:r>
        <w:rPr>
          <w:rFonts w:hint="eastAsia" w:ascii="仿宋_GB2312" w:hAnsi="ˎ̥" w:eastAsia="仿宋_GB2312"/>
          <w:color w:val="auto"/>
          <w:sz w:val="32"/>
          <w:szCs w:val="32"/>
          <w:lang w:eastAsia="zh-CN"/>
        </w:rPr>
        <w:t>为存量资金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25.96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根据项目实施进度，</w:t>
      </w:r>
      <w:r>
        <w:rPr>
          <w:rFonts w:hint="eastAsia" w:ascii="仿宋_GB2312" w:hAnsi="ˎ̥" w:eastAsia="仿宋_GB2312"/>
          <w:color w:val="auto"/>
          <w:sz w:val="32"/>
          <w:szCs w:val="32"/>
        </w:rPr>
        <w:t>德尔贡村摩托车巡边驿站经费</w:t>
      </w:r>
      <w:r>
        <w:rPr>
          <w:rFonts w:hint="eastAsia" w:ascii="仿宋_GB2312" w:hAnsi="ˎ̥" w:eastAsia="仿宋_GB2312"/>
          <w:color w:val="auto"/>
          <w:sz w:val="32"/>
          <w:szCs w:val="32"/>
          <w:lang w:val="en-US" w:eastAsia="zh-CN"/>
        </w:rPr>
        <w:t>需结转2024年继续使用</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13694_WPSOffice_Level2"/>
      <w:bookmarkStart w:id="78" w:name="_Toc23005_WPSOffice_Level2"/>
      <w:bookmarkStart w:id="79" w:name="_Toc17398_WPSOffice_Level2"/>
      <w:bookmarkStart w:id="80" w:name="_Toc21737_WPSOffice_Level2"/>
      <w:bookmarkStart w:id="81" w:name="_Toc9989_WPSOffice_Level2"/>
      <w:bookmarkStart w:id="82" w:name="_Toc1966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4,056.46</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年度相比，一般公共预算财政拨款支出减少</w:t>
      </w:r>
      <w:r>
        <w:rPr>
          <w:rFonts w:hint="eastAsia" w:ascii="仿宋_GB2312" w:hAnsi="ˎ̥" w:eastAsia="仿宋_GB2312"/>
          <w:color w:val="auto"/>
          <w:sz w:val="32"/>
          <w:szCs w:val="32"/>
          <w:lang w:val="en-US" w:eastAsia="zh-CN"/>
        </w:rPr>
        <w:t>64.06</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1.55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部分项目经费由乡镇负责申报</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27767_WPSOffice_Level2"/>
      <w:bookmarkStart w:id="84" w:name="_Toc23864_WPSOffice_Level2"/>
      <w:bookmarkStart w:id="85" w:name="_Toc19535_WPSOffice_Level2"/>
      <w:bookmarkStart w:id="86" w:name="_Toc2711_WPSOffice_Level2"/>
      <w:bookmarkStart w:id="87" w:name="_Toc18793_WPSOffice_Level2"/>
      <w:bookmarkStart w:id="88" w:name="_Toc19075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4,056.46</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2973.82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73.31</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教育（类）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9.87万元，占0.24%；</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124.49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3.07</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卫生健康（类）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82.13万元，占2.02%；</w:t>
      </w:r>
      <w:r>
        <w:rPr>
          <w:rFonts w:hint="eastAsia" w:ascii="仿宋_GB2312" w:hAnsi="ˎ̥" w:eastAsia="仿宋_GB2312"/>
          <w:b/>
          <w:bCs/>
          <w:color w:val="auto"/>
          <w:sz w:val="32"/>
          <w:szCs w:val="32"/>
          <w:lang w:val="en-US" w:eastAsia="zh-CN"/>
        </w:rPr>
        <w:t>农林水（类）</w:t>
      </w:r>
      <w:r>
        <w:rPr>
          <w:rFonts w:hint="eastAsia" w:ascii="仿宋_GB2312" w:hAnsi="ˎ̥" w:eastAsia="仿宋_GB2312"/>
          <w:color w:val="auto"/>
          <w:sz w:val="32"/>
          <w:szCs w:val="32"/>
          <w:lang w:val="en-US" w:eastAsia="zh-CN"/>
        </w:rPr>
        <w:t>支出732.07万元，占18.05%；</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134.09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3.31</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1701_WPSOffice_Level2"/>
      <w:bookmarkStart w:id="90" w:name="_Toc29364_WPSOffice_Level2"/>
      <w:bookmarkStart w:id="91" w:name="_Toc9502_WPSOffice_Level2"/>
      <w:bookmarkStart w:id="92" w:name="_Toc25136_WPSOffice_Level2"/>
      <w:bookmarkStart w:id="93" w:name="_Toc22318_WPSOffice_Level2"/>
      <w:bookmarkStart w:id="94" w:name="_Toc15415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4056.46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4,056.46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color w:val="auto"/>
          <w:sz w:val="32"/>
          <w:szCs w:val="32"/>
        </w:rPr>
      </w:pPr>
      <w:r>
        <w:rPr>
          <w:rFonts w:hint="eastAsia" w:ascii="仿宋" w:hAnsi="仿宋" w:eastAsia="仿宋"/>
          <w:b/>
          <w:color w:val="auto"/>
          <w:sz w:val="32"/>
          <w:szCs w:val="32"/>
        </w:rPr>
        <w:t>1.一般公共服务（类）组织事务（款）行政运行（项）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919.65万元，支出决算为</w:t>
      </w:r>
      <w:r>
        <w:rPr>
          <w:rFonts w:hint="eastAsia" w:ascii="仿宋" w:hAnsi="仿宋" w:eastAsia="仿宋"/>
          <w:color w:val="auto"/>
          <w:sz w:val="32"/>
          <w:szCs w:val="32"/>
          <w:lang w:val="en-US" w:eastAsia="zh-CN"/>
        </w:rPr>
        <w:t>919.65</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color w:val="auto"/>
          <w:sz w:val="32"/>
          <w:szCs w:val="32"/>
        </w:rPr>
      </w:pPr>
      <w:r>
        <w:rPr>
          <w:rFonts w:hint="eastAsia" w:ascii="仿宋" w:hAnsi="仿宋" w:eastAsia="仿宋"/>
          <w:b/>
          <w:color w:val="auto"/>
          <w:sz w:val="32"/>
          <w:szCs w:val="32"/>
        </w:rPr>
        <w:t>2.一般公共服务（类）组织事务（款）公务员事务（项）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4.8万元，支出决算为</w:t>
      </w:r>
      <w:r>
        <w:rPr>
          <w:rFonts w:hint="eastAsia" w:ascii="仿宋" w:hAnsi="仿宋" w:eastAsia="仿宋"/>
          <w:color w:val="auto"/>
          <w:sz w:val="32"/>
          <w:szCs w:val="32"/>
          <w:lang w:val="en-US" w:eastAsia="zh-CN"/>
        </w:rPr>
        <w:t>4.8</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color w:val="auto"/>
          <w:sz w:val="32"/>
          <w:szCs w:val="32"/>
        </w:rPr>
      </w:pPr>
      <w:r>
        <w:rPr>
          <w:rFonts w:hint="eastAsia" w:ascii="仿宋" w:hAnsi="仿宋" w:eastAsia="仿宋"/>
          <w:b/>
          <w:color w:val="auto"/>
          <w:sz w:val="32"/>
          <w:szCs w:val="32"/>
        </w:rPr>
        <w:t>3.一般公共服务（类）组织事务（款）其他组织事务（项）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2049.36万元，支出决算为</w:t>
      </w:r>
      <w:r>
        <w:rPr>
          <w:rFonts w:hint="eastAsia" w:ascii="仿宋" w:hAnsi="仿宋" w:eastAsia="仿宋"/>
          <w:color w:val="auto"/>
          <w:sz w:val="32"/>
          <w:szCs w:val="32"/>
          <w:lang w:val="en-US" w:eastAsia="zh-CN"/>
        </w:rPr>
        <w:t>2049.36</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4.教育支出（类）进修及培训（款）干部教育（项）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9.87万元，支出决算为</w:t>
      </w:r>
      <w:r>
        <w:rPr>
          <w:rFonts w:hint="eastAsia" w:ascii="仿宋" w:hAnsi="仿宋" w:eastAsia="仿宋"/>
          <w:color w:val="auto"/>
          <w:sz w:val="32"/>
          <w:szCs w:val="32"/>
          <w:lang w:val="en-US" w:eastAsia="zh-CN"/>
        </w:rPr>
        <w:t>9.87</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color w:val="auto"/>
          <w:sz w:val="32"/>
          <w:szCs w:val="32"/>
          <w:lang w:eastAsia="zh-CN"/>
        </w:rPr>
      </w:pPr>
      <w:r>
        <w:rPr>
          <w:rFonts w:hint="eastAsia" w:ascii="仿宋" w:hAnsi="仿宋" w:eastAsia="仿宋"/>
          <w:b/>
          <w:color w:val="auto"/>
          <w:sz w:val="32"/>
          <w:szCs w:val="32"/>
          <w:lang w:val="en-US" w:eastAsia="zh-CN"/>
        </w:rPr>
        <w:t>5</w:t>
      </w:r>
      <w:r>
        <w:rPr>
          <w:rFonts w:hint="eastAsia" w:ascii="仿宋" w:hAnsi="仿宋" w:eastAsia="仿宋"/>
          <w:b/>
          <w:color w:val="auto"/>
          <w:sz w:val="32"/>
          <w:szCs w:val="32"/>
        </w:rPr>
        <w:t>.社会保障和就业（类）财政对基本养老保险基金的补助（款）机关事业单位基本养老保险缴费（项）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124.49万元，支出决算为</w:t>
      </w:r>
      <w:r>
        <w:rPr>
          <w:rFonts w:hint="eastAsia" w:ascii="仿宋" w:hAnsi="仿宋" w:eastAsia="仿宋"/>
          <w:color w:val="auto"/>
          <w:sz w:val="32"/>
          <w:szCs w:val="32"/>
          <w:lang w:val="en-US" w:eastAsia="zh-CN"/>
        </w:rPr>
        <w:t>124.49</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b w:val="0"/>
          <w:bCs/>
          <w:color w:val="auto"/>
          <w:sz w:val="32"/>
          <w:szCs w:val="32"/>
          <w:lang w:val="en-US" w:eastAsia="zh-CN"/>
        </w:rPr>
      </w:pPr>
      <w:r>
        <w:rPr>
          <w:rFonts w:hint="eastAsia" w:ascii="仿宋" w:hAnsi="仿宋" w:eastAsia="仿宋"/>
          <w:b/>
          <w:color w:val="auto"/>
          <w:sz w:val="32"/>
          <w:szCs w:val="32"/>
          <w:lang w:val="en-US" w:eastAsia="zh-CN"/>
        </w:rPr>
        <w:t>6.卫生健康（类）行政事业单位医疗（款）行政单位医疗（项）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59.91万元，支出决算为</w:t>
      </w:r>
      <w:r>
        <w:rPr>
          <w:rFonts w:hint="eastAsia" w:ascii="仿宋" w:hAnsi="仿宋" w:eastAsia="仿宋"/>
          <w:color w:val="auto"/>
          <w:sz w:val="32"/>
          <w:szCs w:val="32"/>
          <w:lang w:val="en-US" w:eastAsia="zh-CN"/>
        </w:rPr>
        <w:t>59.91</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b w:val="0"/>
          <w:bCs/>
          <w:color w:val="auto"/>
          <w:sz w:val="32"/>
          <w:szCs w:val="32"/>
          <w:lang w:val="en-US" w:eastAsia="zh-CN"/>
        </w:rPr>
      </w:pPr>
      <w:r>
        <w:rPr>
          <w:rFonts w:hint="eastAsia" w:ascii="仿宋" w:hAnsi="仿宋" w:eastAsia="仿宋"/>
          <w:b/>
          <w:color w:val="auto"/>
          <w:sz w:val="32"/>
          <w:szCs w:val="32"/>
          <w:lang w:val="en-US" w:eastAsia="zh-CN"/>
        </w:rPr>
        <w:t>7.卫生健康（类）行政事业单位医疗（款）公务员医疗补助（项）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15.56万元，支出决算为</w:t>
      </w:r>
      <w:r>
        <w:rPr>
          <w:rFonts w:hint="eastAsia" w:ascii="仿宋" w:hAnsi="仿宋" w:eastAsia="仿宋"/>
          <w:color w:val="auto"/>
          <w:sz w:val="32"/>
          <w:szCs w:val="32"/>
          <w:lang w:val="en-US" w:eastAsia="zh-CN"/>
        </w:rPr>
        <w:t>15.56</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8</w:t>
      </w:r>
      <w:r>
        <w:rPr>
          <w:rFonts w:hint="eastAsia" w:ascii="仿宋" w:hAnsi="仿宋" w:eastAsia="仿宋"/>
          <w:b/>
          <w:color w:val="auto"/>
          <w:sz w:val="32"/>
          <w:szCs w:val="32"/>
        </w:rPr>
        <w:t>.卫生健康（类）</w:t>
      </w:r>
      <w:r>
        <w:rPr>
          <w:rFonts w:hint="eastAsia" w:ascii="仿宋" w:hAnsi="仿宋" w:eastAsia="仿宋"/>
          <w:b/>
          <w:color w:val="auto"/>
          <w:sz w:val="32"/>
          <w:szCs w:val="32"/>
          <w:lang w:eastAsia="zh-CN"/>
        </w:rPr>
        <w:t>其他卫生健康支出（款）其他卫生健康支出</w:t>
      </w:r>
      <w:r>
        <w:rPr>
          <w:rFonts w:hint="eastAsia" w:ascii="仿宋" w:hAnsi="仿宋" w:eastAsia="仿宋"/>
          <w:b/>
          <w:color w:val="auto"/>
          <w:sz w:val="32"/>
          <w:szCs w:val="32"/>
        </w:rPr>
        <w:t>（项）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6.66万元，支出决算为</w:t>
      </w:r>
      <w:r>
        <w:rPr>
          <w:rFonts w:hint="eastAsia" w:ascii="仿宋" w:hAnsi="仿宋" w:eastAsia="仿宋"/>
          <w:color w:val="auto"/>
          <w:sz w:val="32"/>
          <w:szCs w:val="32"/>
          <w:lang w:val="en-US" w:eastAsia="zh-CN"/>
        </w:rPr>
        <w:t>6.66</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color w:val="auto"/>
          <w:sz w:val="32"/>
          <w:szCs w:val="32"/>
        </w:rPr>
      </w:pPr>
      <w:r>
        <w:rPr>
          <w:rFonts w:hint="eastAsia" w:ascii="仿宋" w:hAnsi="仿宋" w:eastAsia="仿宋"/>
          <w:b/>
          <w:color w:val="auto"/>
          <w:sz w:val="32"/>
          <w:szCs w:val="32"/>
          <w:lang w:val="en-US" w:eastAsia="zh-CN"/>
        </w:rPr>
        <w:t>9</w:t>
      </w:r>
      <w:r>
        <w:rPr>
          <w:rFonts w:hint="eastAsia" w:ascii="仿宋" w:hAnsi="仿宋" w:eastAsia="仿宋"/>
          <w:b/>
          <w:color w:val="auto"/>
          <w:sz w:val="32"/>
          <w:szCs w:val="32"/>
        </w:rPr>
        <w:t>.</w:t>
      </w:r>
      <w:r>
        <w:rPr>
          <w:rFonts w:hint="eastAsia"/>
          <w:color w:val="auto"/>
        </w:rPr>
        <w:t xml:space="preserve"> </w:t>
      </w:r>
      <w:r>
        <w:rPr>
          <w:rFonts w:hint="eastAsia" w:ascii="仿宋" w:hAnsi="仿宋" w:eastAsia="仿宋"/>
          <w:b/>
          <w:color w:val="auto"/>
          <w:sz w:val="32"/>
          <w:szCs w:val="32"/>
        </w:rPr>
        <w:t>农林水支出（类）农村综合改革（款）对村</w:t>
      </w:r>
      <w:r>
        <w:rPr>
          <w:rFonts w:hint="eastAsia" w:ascii="仿宋" w:hAnsi="仿宋" w:eastAsia="仿宋"/>
          <w:b/>
          <w:color w:val="auto"/>
          <w:sz w:val="32"/>
          <w:szCs w:val="32"/>
          <w:lang w:eastAsia="zh-CN"/>
        </w:rPr>
        <w:t>民委员会和村党支部</w:t>
      </w:r>
      <w:r>
        <w:rPr>
          <w:rFonts w:hint="eastAsia" w:ascii="仿宋" w:hAnsi="仿宋" w:eastAsia="仿宋"/>
          <w:b/>
          <w:color w:val="auto"/>
          <w:sz w:val="32"/>
          <w:szCs w:val="32"/>
        </w:rPr>
        <w:t>的补助（项）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699.14万元，支出决算为</w:t>
      </w:r>
      <w:r>
        <w:rPr>
          <w:rFonts w:hint="eastAsia" w:ascii="仿宋" w:hAnsi="仿宋" w:eastAsia="仿宋"/>
          <w:color w:val="auto"/>
          <w:sz w:val="32"/>
          <w:szCs w:val="32"/>
          <w:lang w:val="en-US" w:eastAsia="zh-CN"/>
        </w:rPr>
        <w:t>699.14</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color w:val="auto"/>
          <w:sz w:val="32"/>
          <w:szCs w:val="32"/>
        </w:rPr>
      </w:pPr>
      <w:r>
        <w:rPr>
          <w:rFonts w:hint="eastAsia" w:ascii="仿宋" w:hAnsi="仿宋" w:eastAsia="仿宋"/>
          <w:b/>
          <w:color w:val="auto"/>
          <w:sz w:val="32"/>
          <w:szCs w:val="32"/>
          <w:lang w:val="en-US" w:eastAsia="zh-CN"/>
        </w:rPr>
        <w:t>10</w:t>
      </w:r>
      <w:r>
        <w:rPr>
          <w:rFonts w:hint="eastAsia" w:ascii="仿宋" w:hAnsi="仿宋" w:eastAsia="仿宋"/>
          <w:b/>
          <w:color w:val="auto"/>
          <w:sz w:val="32"/>
          <w:szCs w:val="32"/>
        </w:rPr>
        <w:t>.</w:t>
      </w:r>
      <w:r>
        <w:rPr>
          <w:rFonts w:hint="eastAsia"/>
          <w:color w:val="auto"/>
        </w:rPr>
        <w:t xml:space="preserve"> </w:t>
      </w:r>
      <w:r>
        <w:rPr>
          <w:rFonts w:hint="eastAsia" w:ascii="仿宋" w:hAnsi="仿宋" w:eastAsia="仿宋"/>
          <w:b/>
          <w:color w:val="auto"/>
          <w:sz w:val="32"/>
          <w:szCs w:val="32"/>
        </w:rPr>
        <w:t>农林水支出（类）农村综合改革（款）</w:t>
      </w:r>
      <w:r>
        <w:rPr>
          <w:rFonts w:hint="eastAsia" w:ascii="仿宋" w:hAnsi="仿宋" w:eastAsia="仿宋"/>
          <w:b/>
          <w:color w:val="auto"/>
          <w:sz w:val="32"/>
          <w:szCs w:val="32"/>
          <w:lang w:eastAsia="zh-CN"/>
        </w:rPr>
        <w:t>其他农村综合改革</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32.92</w:t>
      </w:r>
      <w:r>
        <w:rPr>
          <w:rFonts w:hint="eastAsia" w:ascii="仿宋" w:hAnsi="仿宋" w:eastAsia="仿宋"/>
          <w:color w:val="auto"/>
          <w:sz w:val="32"/>
          <w:szCs w:val="32"/>
        </w:rPr>
        <w:t>万元。</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 w:hAnsi="仿宋" w:eastAsia="仿宋"/>
          <w:color w:val="auto"/>
          <w:sz w:val="32"/>
          <w:szCs w:val="32"/>
        </w:rPr>
      </w:pPr>
      <w:r>
        <w:rPr>
          <w:rFonts w:hint="eastAsia" w:ascii="仿宋" w:hAnsi="仿宋" w:eastAsia="仿宋"/>
          <w:b/>
          <w:color w:val="auto"/>
          <w:sz w:val="32"/>
          <w:szCs w:val="32"/>
          <w:lang w:val="en-US" w:eastAsia="zh-CN"/>
        </w:rPr>
        <w:t>11</w:t>
      </w:r>
      <w:r>
        <w:rPr>
          <w:rFonts w:hint="eastAsia" w:ascii="仿宋" w:hAnsi="仿宋" w:eastAsia="仿宋"/>
          <w:b/>
          <w:color w:val="auto"/>
          <w:sz w:val="32"/>
          <w:szCs w:val="32"/>
        </w:rPr>
        <w:t>.住房保障</w:t>
      </w:r>
      <w:r>
        <w:rPr>
          <w:rFonts w:hint="eastAsia" w:ascii="仿宋" w:hAnsi="仿宋" w:eastAsia="仿宋"/>
          <w:b/>
          <w:color w:val="auto"/>
          <w:sz w:val="32"/>
          <w:szCs w:val="32"/>
          <w:lang w:eastAsia="zh-CN"/>
        </w:rPr>
        <w:t>支出</w:t>
      </w:r>
      <w:r>
        <w:rPr>
          <w:rFonts w:hint="eastAsia" w:ascii="仿宋" w:hAnsi="仿宋" w:eastAsia="仿宋"/>
          <w:b/>
          <w:color w:val="auto"/>
          <w:sz w:val="32"/>
          <w:szCs w:val="32"/>
        </w:rPr>
        <w:t>（类）住房改革</w:t>
      </w:r>
      <w:r>
        <w:rPr>
          <w:rFonts w:hint="eastAsia" w:ascii="仿宋" w:hAnsi="仿宋" w:eastAsia="仿宋"/>
          <w:b/>
          <w:color w:val="auto"/>
          <w:sz w:val="32"/>
          <w:szCs w:val="32"/>
          <w:lang w:eastAsia="zh-CN"/>
        </w:rPr>
        <w:t>支出</w:t>
      </w:r>
      <w:r>
        <w:rPr>
          <w:rFonts w:hint="eastAsia" w:ascii="仿宋" w:hAnsi="仿宋" w:eastAsia="仿宋"/>
          <w:b/>
          <w:color w:val="auto"/>
          <w:sz w:val="32"/>
          <w:szCs w:val="32"/>
        </w:rPr>
        <w:t>（款）住房公积金（项）</w:t>
      </w:r>
      <w:r>
        <w:rPr>
          <w:rFonts w:hint="eastAsia" w:ascii="仿宋" w:hAnsi="仿宋" w:eastAsia="仿宋"/>
          <w:b/>
          <w:color w:val="auto"/>
          <w:sz w:val="32"/>
          <w:szCs w:val="32"/>
          <w:lang w:eastAsia="zh-CN"/>
        </w:rPr>
        <w:t>。</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93.37万元，支出决算为</w:t>
      </w:r>
      <w:r>
        <w:rPr>
          <w:rFonts w:hint="eastAsia" w:ascii="仿宋" w:hAnsi="仿宋" w:eastAsia="仿宋"/>
          <w:color w:val="auto"/>
          <w:sz w:val="32"/>
          <w:szCs w:val="32"/>
          <w:lang w:val="en-US" w:eastAsia="zh-CN"/>
        </w:rPr>
        <w:t>93.37</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kinsoku/>
        <w:wordWrap/>
        <w:overflowPunct/>
        <w:topLinePunct w:val="0"/>
        <w:autoSpaceDE/>
        <w:bidi w:val="0"/>
        <w:adjustRightInd/>
        <w:snapToGrid/>
        <w:spacing w:line="560" w:lineRule="exact"/>
        <w:ind w:firstLine="643"/>
        <w:textAlignment w:val="auto"/>
        <w:rPr>
          <w:rFonts w:hint="eastAsia" w:ascii="仿宋_GB2312" w:hAnsi="ˎ̥" w:eastAsia="仿宋_GB2312"/>
          <w:color w:val="auto"/>
          <w:sz w:val="32"/>
          <w:szCs w:val="32"/>
        </w:rPr>
      </w:pPr>
      <w:r>
        <w:rPr>
          <w:rFonts w:hint="eastAsia" w:ascii="仿宋" w:hAnsi="仿宋" w:eastAsia="仿宋"/>
          <w:b/>
          <w:color w:val="auto"/>
          <w:sz w:val="32"/>
          <w:szCs w:val="32"/>
        </w:rPr>
        <w:t>1</w:t>
      </w:r>
      <w:r>
        <w:rPr>
          <w:rFonts w:hint="eastAsia" w:ascii="仿宋" w:hAnsi="仿宋" w:eastAsia="仿宋"/>
          <w:b/>
          <w:color w:val="auto"/>
          <w:sz w:val="32"/>
          <w:szCs w:val="32"/>
          <w:lang w:val="en-US" w:eastAsia="zh-CN"/>
        </w:rPr>
        <w:t>2</w:t>
      </w:r>
      <w:r>
        <w:rPr>
          <w:rFonts w:hint="eastAsia" w:ascii="仿宋" w:hAnsi="仿宋" w:eastAsia="仿宋"/>
          <w:b/>
          <w:color w:val="auto"/>
          <w:sz w:val="32"/>
          <w:szCs w:val="32"/>
        </w:rPr>
        <w:t>.住房保障</w:t>
      </w:r>
      <w:r>
        <w:rPr>
          <w:rFonts w:hint="eastAsia" w:ascii="仿宋" w:hAnsi="仿宋" w:eastAsia="仿宋"/>
          <w:b/>
          <w:color w:val="auto"/>
          <w:sz w:val="32"/>
          <w:szCs w:val="32"/>
          <w:lang w:eastAsia="zh-CN"/>
        </w:rPr>
        <w:t>支出</w:t>
      </w:r>
      <w:r>
        <w:rPr>
          <w:rFonts w:hint="eastAsia" w:ascii="仿宋" w:hAnsi="仿宋" w:eastAsia="仿宋"/>
          <w:b/>
          <w:color w:val="auto"/>
          <w:sz w:val="32"/>
          <w:szCs w:val="32"/>
        </w:rPr>
        <w:t>（类）住房改革</w:t>
      </w:r>
      <w:r>
        <w:rPr>
          <w:rFonts w:hint="eastAsia" w:ascii="仿宋" w:hAnsi="仿宋" w:eastAsia="仿宋"/>
          <w:b/>
          <w:color w:val="auto"/>
          <w:sz w:val="32"/>
          <w:szCs w:val="32"/>
          <w:lang w:eastAsia="zh-CN"/>
        </w:rPr>
        <w:t>支出</w:t>
      </w:r>
      <w:r>
        <w:rPr>
          <w:rFonts w:hint="eastAsia" w:ascii="仿宋" w:hAnsi="仿宋" w:eastAsia="仿宋"/>
          <w:b/>
          <w:color w:val="auto"/>
          <w:sz w:val="32"/>
          <w:szCs w:val="32"/>
        </w:rPr>
        <w:t>（款）购房补贴（项）</w:t>
      </w:r>
      <w:r>
        <w:rPr>
          <w:rFonts w:hint="eastAsia" w:ascii="仿宋" w:hAnsi="仿宋" w:eastAsia="仿宋"/>
          <w:b w:val="0"/>
          <w:bCs/>
          <w:color w:val="auto"/>
          <w:sz w:val="32"/>
          <w:szCs w:val="32"/>
          <w:lang w:eastAsia="zh-CN"/>
        </w:rPr>
        <w:t>年初预算为</w:t>
      </w:r>
      <w:r>
        <w:rPr>
          <w:rFonts w:hint="eastAsia" w:ascii="仿宋" w:hAnsi="仿宋" w:eastAsia="仿宋"/>
          <w:b w:val="0"/>
          <w:bCs/>
          <w:color w:val="auto"/>
          <w:sz w:val="32"/>
          <w:szCs w:val="32"/>
          <w:lang w:val="en-US" w:eastAsia="zh-CN"/>
        </w:rPr>
        <w:t>40.72万元，支出决算为</w:t>
      </w:r>
      <w:r>
        <w:rPr>
          <w:rFonts w:hint="eastAsia" w:ascii="仿宋" w:hAnsi="仿宋" w:eastAsia="仿宋"/>
          <w:color w:val="auto"/>
          <w:sz w:val="32"/>
          <w:szCs w:val="32"/>
          <w:lang w:val="en-US" w:eastAsia="zh-CN"/>
        </w:rPr>
        <w:t>40.72</w:t>
      </w:r>
      <w:r>
        <w:rPr>
          <w:rFonts w:hint="eastAsia" w:ascii="仿宋" w:hAnsi="仿宋" w:eastAsia="仿宋"/>
          <w:color w:val="auto"/>
          <w:sz w:val="32"/>
          <w:szCs w:val="32"/>
        </w:rPr>
        <w:t>万元</w:t>
      </w:r>
      <w:r>
        <w:rPr>
          <w:rFonts w:hint="eastAsia" w:ascii="仿宋" w:hAnsi="仿宋" w:eastAsia="仿宋"/>
          <w:color w:val="auto"/>
          <w:sz w:val="32"/>
          <w:szCs w:val="32"/>
          <w:lang w:eastAsia="zh-CN"/>
        </w:rPr>
        <w:t>，完成年初预算的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1,127.78</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1,076.39</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51.39</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不涉及</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不涉及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不涉及</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12.38</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12.38</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2.17</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21.25</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 w:hAnsi="仿宋" w:eastAsia="仿宋"/>
          <w:color w:val="auto"/>
          <w:sz w:val="32"/>
          <w:szCs w:val="32"/>
          <w:lang w:eastAsia="zh-CN"/>
        </w:rPr>
        <w:t>县委党校专项经费在组织部预算一体化系统中，公务用车运行维护支出包含了县委党校的公车</w:t>
      </w:r>
      <w:r>
        <w:rPr>
          <w:rFonts w:hint="eastAsia" w:ascii="仿宋" w:hAnsi="仿宋" w:eastAsia="仿宋"/>
          <w:color w:val="auto"/>
          <w:sz w:val="32"/>
          <w:szCs w:val="32"/>
          <w:lang w:val="en-US" w:eastAsia="zh-CN"/>
        </w:rPr>
        <w:t>藏GP7862和县委组织部的公车藏GD6196，开展各项工作公车使用率较高，公务用车运行维护费相应提高</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12.38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12.38</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12.38</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val="en-US" w:eastAsia="zh-CN"/>
        </w:rPr>
        <w:t>公务用车下乡、出差等燃料费，维修费、审车费及保险费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无变化。</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2.17</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21.25</w:t>
      </w:r>
      <w:r>
        <w:rPr>
          <w:rFonts w:hint="eastAsia" w:ascii="仿宋_GB2312" w:hAnsi="ˎ̥" w:eastAsia="仿宋_GB2312"/>
          <w:color w:val="auto"/>
          <w:sz w:val="32"/>
          <w:szCs w:val="32"/>
        </w:rPr>
        <w:t>%，主要原因是</w:t>
      </w:r>
      <w:r>
        <w:rPr>
          <w:rFonts w:hint="eastAsia" w:ascii="仿宋_GB2312" w:hAnsi="ˎ̥" w:eastAsia="仿宋_GB2312"/>
          <w:bCs/>
          <w:color w:val="auto"/>
          <w:sz w:val="32"/>
          <w:szCs w:val="32"/>
          <w:lang w:val="en-US" w:eastAsia="zh-CN"/>
        </w:rPr>
        <w:t>2024年公务用车下乡、市（内、外）出差频次增加，公车使用频率高，燃油费增加。产生维修维护费、油料费增加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b/>
          <w:color w:val="auto"/>
          <w:sz w:val="32"/>
          <w:szCs w:val="32"/>
        </w:rPr>
        <w:t>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w:t>
      </w:r>
      <w:r>
        <w:rPr>
          <w:rFonts w:hint="eastAsia" w:ascii="仿宋_GB2312" w:eastAsia="仿宋_GB2312"/>
          <w:color w:val="auto"/>
          <w:sz w:val="32"/>
          <w:szCs w:val="32"/>
          <w:lang w:eastAsia="zh-CN"/>
        </w:rPr>
        <w:t>部</w:t>
      </w:r>
      <w:r>
        <w:rPr>
          <w:rFonts w:hint="eastAsia" w:ascii="仿宋_GB2312" w:eastAsia="仿宋_GB2312"/>
          <w:color w:val="auto"/>
          <w:sz w:val="32"/>
          <w:szCs w:val="32"/>
        </w:rPr>
        <w:t>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共涉及资金2216.33万元，占一般公共预算项目支出总额的75.68%</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驻村生活补助、强基惠民工作经费、乡村振兴专干工资及社保，村干部、村务监督、三老人员工资，基层组织建设经费，退休干部职工护工费、疗养费、帮扶资金，人才工作经费，党校运行经费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2216.33</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部门决算中项目绩效自评结果（预算部门、单位可根据实际情况反映重点项目绩效自评结果）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县委组织部</w:t>
      </w:r>
      <w:r>
        <w:rPr>
          <w:rFonts w:hint="eastAsia" w:ascii="仿宋_GB2312" w:hAnsi="仿宋_GB2312" w:eastAsia="仿宋_GB2312" w:cs="仿宋_GB2312"/>
          <w:bCs/>
          <w:color w:val="auto"/>
          <w:sz w:val="32"/>
          <w:szCs w:val="32"/>
        </w:rPr>
        <w:t>在部门决算中反映</w:t>
      </w:r>
      <w:r>
        <w:rPr>
          <w:rFonts w:hint="eastAsia" w:ascii="仿宋_GB2312" w:hAnsi="仿宋_GB2312" w:eastAsia="仿宋_GB2312" w:cs="仿宋_GB2312"/>
          <w:bCs/>
          <w:color w:val="auto"/>
          <w:sz w:val="32"/>
          <w:szCs w:val="32"/>
          <w:lang w:eastAsia="zh-CN"/>
        </w:rPr>
        <w:t>驻村生活补助</w:t>
      </w:r>
      <w:r>
        <w:rPr>
          <w:rFonts w:hint="eastAsia" w:ascii="仿宋_GB2312" w:hAnsi="仿宋_GB2312" w:eastAsia="仿宋_GB2312" w:cs="仿宋_GB2312"/>
          <w:bCs/>
          <w:color w:val="auto"/>
          <w:sz w:val="32"/>
          <w:szCs w:val="32"/>
        </w:rPr>
        <w:t>、基层组织建设经费、党校运行经费等3个重点项目绩效自评结果。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1.驻村生活补助</w:t>
      </w:r>
    </w:p>
    <w:p>
      <w:pPr>
        <w:pStyle w:val="2"/>
        <w:numPr>
          <w:ilvl w:val="0"/>
          <w:numId w:val="0"/>
        </w:numPr>
        <w:ind w:right="0" w:rightChars="0" w:firstLine="640" w:firstLineChars="200"/>
        <w:rPr>
          <w:rFonts w:hint="eastAsia" w:hAnsi="Calibri" w:cs="Times New Roman"/>
          <w:color w:val="auto"/>
          <w:kern w:val="2"/>
          <w:sz w:val="32"/>
          <w:szCs w:val="32"/>
          <w:lang w:val="en-US" w:eastAsia="zh-CN" w:bidi="ar-SA"/>
        </w:rPr>
      </w:pPr>
      <w:r>
        <w:rPr>
          <w:rFonts w:hint="eastAsia"/>
          <w:color w:val="auto"/>
          <w:lang w:val="en-US" w:eastAsia="zh-CN"/>
        </w:rPr>
        <w:t>驻村生活补助项目绩效自评报告：</w:t>
      </w:r>
      <w:r>
        <w:rPr>
          <w:rFonts w:hint="eastAsia" w:ascii="仿宋_GB2312" w:hAnsi="仿宋_GB2312" w:eastAsia="仿宋_GB2312" w:cs="仿宋_GB2312"/>
          <w:bCs/>
          <w:color w:val="auto"/>
          <w:sz w:val="32"/>
          <w:szCs w:val="32"/>
        </w:rPr>
        <w:t>根据年初设定的绩效目标，项目绩效自评得分为</w:t>
      </w:r>
      <w:r>
        <w:rPr>
          <w:rFonts w:hint="eastAsia"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rPr>
        <w:t>分。全年预算数为</w:t>
      </w:r>
      <w:r>
        <w:rPr>
          <w:rFonts w:hint="eastAsia" w:hAnsi="仿宋_GB2312" w:cs="仿宋_GB2312"/>
          <w:bCs/>
          <w:color w:val="auto"/>
          <w:sz w:val="32"/>
          <w:szCs w:val="32"/>
          <w:lang w:val="en-US" w:eastAsia="zh-CN"/>
        </w:rPr>
        <w:t>346.54</w:t>
      </w:r>
      <w:r>
        <w:rPr>
          <w:rFonts w:hint="eastAsia" w:ascii="仿宋_GB2312" w:hAnsi="仿宋_GB2312" w:eastAsia="仿宋_GB2312" w:cs="仿宋_GB2312"/>
          <w:bCs/>
          <w:color w:val="auto"/>
          <w:sz w:val="32"/>
          <w:szCs w:val="32"/>
        </w:rPr>
        <w:t>万元、执行数为</w:t>
      </w:r>
      <w:r>
        <w:rPr>
          <w:rFonts w:hint="eastAsia" w:hAnsi="仿宋_GB2312" w:cs="仿宋_GB2312"/>
          <w:bCs/>
          <w:color w:val="auto"/>
          <w:sz w:val="32"/>
          <w:szCs w:val="32"/>
          <w:lang w:val="en-US" w:eastAsia="zh-CN"/>
        </w:rPr>
        <w:t>346.54</w:t>
      </w:r>
      <w:r>
        <w:rPr>
          <w:rFonts w:hint="eastAsia" w:ascii="仿宋_GB2312" w:hAnsi="仿宋_GB2312" w:eastAsia="仿宋_GB2312" w:cs="仿宋_GB2312"/>
          <w:bCs/>
          <w:color w:val="auto"/>
          <w:sz w:val="32"/>
          <w:szCs w:val="32"/>
        </w:rPr>
        <w:t>万元，完成预算的</w:t>
      </w:r>
      <w:r>
        <w:rPr>
          <w:rFonts w:hint="eastAsia" w:ascii="仿宋_GB2312" w:hAnsi="仿宋_GB2312" w:eastAsia="仿宋_GB2312" w:cs="仿宋_GB2312"/>
          <w:bCs/>
          <w:color w:val="auto"/>
          <w:sz w:val="32"/>
          <w:szCs w:val="32"/>
          <w:lang w:val="en-US" w:eastAsia="zh-CN"/>
        </w:rPr>
        <w:t>100</w:t>
      </w:r>
      <w:r>
        <w:rPr>
          <w:rFonts w:hint="eastAsia" w:ascii="仿宋_GB2312" w:hAnsi="仿宋_GB2312" w:eastAsia="仿宋_GB2312" w:cs="仿宋_GB2312"/>
          <w:bCs/>
          <w:color w:val="auto"/>
          <w:sz w:val="32"/>
          <w:szCs w:val="32"/>
        </w:rPr>
        <w:t>%。项目绩效目标完成情况：按时足额发放</w:t>
      </w:r>
      <w:r>
        <w:rPr>
          <w:rFonts w:hint="eastAsia" w:ascii="仿宋_GB2312" w:hAnsi="Calibri" w:eastAsia="仿宋_GB2312" w:cs="Times New Roman"/>
          <w:color w:val="auto"/>
          <w:kern w:val="2"/>
          <w:sz w:val="32"/>
          <w:szCs w:val="32"/>
          <w:lang w:val="en-US" w:eastAsia="zh-CN" w:bidi="ar-SA"/>
        </w:rPr>
        <w:t>160名驻村干部</w:t>
      </w:r>
      <w:r>
        <w:rPr>
          <w:rFonts w:hint="eastAsia" w:hAnsi="Calibri" w:cs="Times New Roman"/>
          <w:color w:val="auto"/>
          <w:kern w:val="2"/>
          <w:sz w:val="32"/>
          <w:szCs w:val="32"/>
          <w:lang w:val="en-US" w:eastAsia="zh-CN" w:bidi="ar-SA"/>
        </w:rPr>
        <w:t>驻村生活补助。贯彻落实驻村“五项重点任务”，紧扣党组织服务群众的根本宗旨，突出其在凝聚群众、推动发展中的引领作用。</w:t>
      </w:r>
    </w:p>
    <w:p>
      <w:pPr>
        <w:pStyle w:val="2"/>
        <w:numPr>
          <w:ilvl w:val="0"/>
          <w:numId w:val="0"/>
        </w:numPr>
        <w:ind w:right="0" w:rightChars="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发现的主要问题及原因：</w:t>
      </w:r>
      <w:r>
        <w:rPr>
          <w:rFonts w:hint="eastAsia" w:ascii="仿宋_GB2312" w:eastAsia="仿宋_GB2312" w:cs="Times New Roman"/>
          <w:color w:val="auto"/>
          <w:sz w:val="32"/>
          <w:szCs w:val="32"/>
          <w:lang w:val="en-US" w:eastAsia="zh-CN"/>
        </w:rPr>
        <w:t>个别驻村干部履职能力不强，存在对驻村工作理论政策不了解不熟悉的问题，想干不会干。部分驻村工作队谋发展思路不清晰，对建强党组织、谋划村集体经济发展方面办法不多。</w:t>
      </w:r>
      <w:r>
        <w:rPr>
          <w:rFonts w:hint="eastAsia" w:ascii="仿宋_GB2312" w:hAnsi="仿宋_GB2312" w:eastAsia="仿宋_GB2312" w:cs="仿宋_GB2312"/>
          <w:bCs/>
          <w:color w:val="auto"/>
          <w:sz w:val="32"/>
          <w:szCs w:val="32"/>
        </w:rPr>
        <w:t>下一步改进措施：</w:t>
      </w:r>
      <w:r>
        <w:rPr>
          <w:rFonts w:hint="eastAsia" w:ascii="仿宋_GB2312" w:hAnsi="仿宋_GB2312" w:eastAsia="仿宋_GB2312" w:cs="仿宋_GB2312"/>
          <w:b w:val="0"/>
          <w:bCs w:val="0"/>
          <w:color w:val="auto"/>
          <w:sz w:val="32"/>
          <w:szCs w:val="32"/>
          <w:highlight w:val="none"/>
          <w:lang w:val="en-US" w:eastAsia="zh-CN"/>
        </w:rPr>
        <w:t>持续用好“助村讲堂”平台，通过党校老师讲理论、业务骨干讲政策、驻村队员聊经验、实地观摩促发展等形式，提升全县驻村干部政策解读、基层治理、经济发展、为民办实事等的能力水平</w:t>
      </w:r>
      <w:r>
        <w:rPr>
          <w:rFonts w:hint="eastAsia" w:hAnsi="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2.基层组织建设经费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基层组织建设经费项目绩效自评报告：根据年初设定的绩效目标，项目绩效自评得分为89分。全年预算数为</w:t>
      </w:r>
      <w:r>
        <w:rPr>
          <w:rFonts w:hint="eastAsia" w:ascii="仿宋_GB2312" w:hAnsi="仿宋_GB2312" w:eastAsia="仿宋_GB2312" w:cs="仿宋_GB2312"/>
          <w:bCs/>
          <w:color w:val="auto"/>
          <w:sz w:val="32"/>
          <w:szCs w:val="32"/>
          <w:lang w:val="en-US" w:eastAsia="zh-CN"/>
        </w:rPr>
        <w:t>113</w:t>
      </w:r>
      <w:r>
        <w:rPr>
          <w:rFonts w:hint="eastAsia" w:ascii="仿宋_GB2312" w:hAnsi="仿宋_GB2312" w:eastAsia="仿宋_GB2312" w:cs="仿宋_GB2312"/>
          <w:bCs/>
          <w:color w:val="auto"/>
          <w:sz w:val="32"/>
          <w:szCs w:val="32"/>
        </w:rPr>
        <w:t>万元、执行数为</w:t>
      </w:r>
      <w:r>
        <w:rPr>
          <w:rFonts w:hint="eastAsia" w:ascii="仿宋_GB2312" w:hAnsi="仿宋_GB2312" w:eastAsia="仿宋_GB2312" w:cs="仿宋_GB2312"/>
          <w:bCs/>
          <w:color w:val="auto"/>
          <w:sz w:val="32"/>
          <w:szCs w:val="32"/>
          <w:lang w:val="en-US" w:eastAsia="zh-CN"/>
        </w:rPr>
        <w:t>81.69</w:t>
      </w:r>
      <w:r>
        <w:rPr>
          <w:rFonts w:hint="eastAsia" w:ascii="仿宋_GB2312" w:hAnsi="仿宋_GB2312" w:eastAsia="仿宋_GB2312" w:cs="仿宋_GB2312"/>
          <w:bCs/>
          <w:color w:val="auto"/>
          <w:sz w:val="32"/>
          <w:szCs w:val="32"/>
        </w:rPr>
        <w:t>万元，完成预算的</w:t>
      </w:r>
      <w:r>
        <w:rPr>
          <w:rFonts w:hint="eastAsia" w:ascii="仿宋_GB2312" w:hAnsi="仿宋_GB2312" w:eastAsia="仿宋_GB2312" w:cs="仿宋_GB2312"/>
          <w:bCs/>
          <w:color w:val="auto"/>
          <w:sz w:val="32"/>
          <w:szCs w:val="32"/>
          <w:lang w:val="en-US" w:eastAsia="zh-CN"/>
        </w:rPr>
        <w:t>72.30</w:t>
      </w:r>
      <w:r>
        <w:rPr>
          <w:rFonts w:hint="eastAsia" w:ascii="仿宋_GB2312" w:hAnsi="仿宋_GB2312" w:eastAsia="仿宋_GB2312" w:cs="仿宋_GB2312"/>
          <w:bCs/>
          <w:color w:val="auto"/>
          <w:sz w:val="32"/>
          <w:szCs w:val="32"/>
        </w:rPr>
        <w:t>%。项目绩效目标完成情况：</w:t>
      </w:r>
      <w:r>
        <w:rPr>
          <w:rFonts w:hint="eastAsia" w:ascii="仿宋_GB2312" w:hAnsi="仿宋_GB2312" w:eastAsia="仿宋_GB2312" w:cs="仿宋_GB2312"/>
          <w:bCs/>
          <w:color w:val="auto"/>
          <w:sz w:val="32"/>
          <w:szCs w:val="32"/>
          <w:lang w:eastAsia="zh-CN"/>
        </w:rPr>
        <w:t>一是</w:t>
      </w:r>
      <w:r>
        <w:rPr>
          <w:rFonts w:hint="eastAsia" w:ascii="仿宋_GB2312" w:eastAsia="仿宋_GB2312" w:cs="Times New Roman"/>
          <w:color w:val="auto"/>
          <w:sz w:val="32"/>
          <w:szCs w:val="32"/>
          <w:lang w:val="en-US" w:eastAsia="zh-CN"/>
        </w:rPr>
        <w:t>着力延伸“爱我墨脱·守我边疆”党建工作品牌内涵，一体推进机关党建、农牧区党建、边境党建工作，构建起大党建、大融合、大发展工作格局。开展各式共建活动40余次，共同巡边巡逻17次，机关党组织与村党组织开展结对共建活动60余次，推动实现党组织共建、党员共育、活动共办、发展共享。</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是</w:t>
      </w:r>
      <w:r>
        <w:rPr>
          <w:rFonts w:hint="eastAsia" w:ascii="仿宋_GB2312" w:eastAsia="仿宋_GB2312" w:cs="Times New Roman"/>
          <w:color w:val="auto"/>
          <w:sz w:val="32"/>
          <w:szCs w:val="32"/>
          <w:lang w:val="en-US" w:eastAsia="zh-CN"/>
        </w:rPr>
        <w:t>有力抓好国家通用语言文字教育，通过远程教、帮带学、走出去等方式，开展专项培训4期，选派村干部68人赴区外轮训，有力提升了通用语言成效。</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发现的主要问题及原因：</w:t>
      </w:r>
      <w:r>
        <w:rPr>
          <w:rFonts w:hint="eastAsia" w:ascii="仿宋_GB2312" w:hAnsi="仿宋_GB2312" w:eastAsia="仿宋_GB2312" w:cs="仿宋_GB2312"/>
          <w:bCs/>
          <w:color w:val="auto"/>
          <w:sz w:val="32"/>
          <w:szCs w:val="32"/>
          <w:lang w:eastAsia="zh-CN"/>
        </w:rPr>
        <w:t>一是</w:t>
      </w:r>
      <w:r>
        <w:rPr>
          <w:rFonts w:hint="default" w:ascii="仿宋_GB2312" w:hAnsi="Calibri" w:eastAsia="仿宋_GB2312" w:cs="Times New Roman"/>
          <w:color w:val="auto"/>
          <w:kern w:val="2"/>
          <w:sz w:val="32"/>
          <w:szCs w:val="32"/>
          <w:lang w:val="en" w:eastAsia="zh-CN" w:bidi="ar-SA"/>
        </w:rPr>
        <w:t>整体工作合力尚未形成，相关部门之间沟通不够密切，一定程度上存在各自为战的问题</w:t>
      </w:r>
      <w:r>
        <w:rPr>
          <w:rFonts w:hint="eastAsia" w:ascii="仿宋_GB2312" w:hAnsi="Calibri" w:eastAsia="仿宋_GB2312" w:cs="Times New Roman"/>
          <w:color w:val="auto"/>
          <w:kern w:val="2"/>
          <w:sz w:val="32"/>
          <w:szCs w:val="32"/>
          <w:lang w:val="en" w:eastAsia="zh-CN" w:bidi="ar-SA"/>
        </w:rPr>
        <w:t>。二是</w:t>
      </w:r>
      <w:r>
        <w:rPr>
          <w:rFonts w:hint="default" w:ascii="仿宋_GB2312" w:hAnsi="Calibri" w:eastAsia="仿宋_GB2312" w:cs="Times New Roman"/>
          <w:color w:val="auto"/>
          <w:kern w:val="2"/>
          <w:sz w:val="32"/>
          <w:szCs w:val="32"/>
          <w:lang w:val="en" w:eastAsia="zh-CN" w:bidi="ar-SA"/>
        </w:rPr>
        <w:t>机制体制不</w:t>
      </w:r>
      <w:r>
        <w:rPr>
          <w:rFonts w:hint="eastAsia" w:ascii="仿宋_GB2312" w:hAnsi="Calibri" w:eastAsia="仿宋_GB2312" w:cs="Times New Roman"/>
          <w:color w:val="auto"/>
          <w:kern w:val="2"/>
          <w:sz w:val="32"/>
          <w:szCs w:val="32"/>
          <w:lang w:val="en" w:eastAsia="zh-CN" w:bidi="ar-SA"/>
        </w:rPr>
        <w:t>够</w:t>
      </w:r>
      <w:r>
        <w:rPr>
          <w:rFonts w:hint="default" w:ascii="仿宋_GB2312" w:hAnsi="Calibri" w:eastAsia="仿宋_GB2312" w:cs="Times New Roman"/>
          <w:color w:val="auto"/>
          <w:kern w:val="2"/>
          <w:sz w:val="32"/>
          <w:szCs w:val="32"/>
          <w:lang w:val="en" w:eastAsia="zh-CN" w:bidi="ar-SA"/>
        </w:rPr>
        <w:t>健全，在推动乡村振兴、基层治理工作上，结合墨脱实际，建立有效工作机制力度不够</w:t>
      </w:r>
      <w:r>
        <w:rPr>
          <w:rFonts w:hint="eastAsia" w:ascii="仿宋_GB2312" w:hAnsi="仿宋_GB2312" w:eastAsia="仿宋_GB2312" w:cs="仿宋_GB2312"/>
          <w:bCs/>
          <w:color w:val="auto"/>
          <w:sz w:val="32"/>
          <w:szCs w:val="32"/>
        </w:rPr>
        <w:t>。下一步改进措施：</w:t>
      </w:r>
      <w:r>
        <w:rPr>
          <w:rFonts w:hint="eastAsia" w:ascii="仿宋_GB2312" w:hAnsi="仿宋_GB2312" w:eastAsia="仿宋_GB2312" w:cs="仿宋_GB2312"/>
          <w:bCs/>
          <w:color w:val="auto"/>
          <w:sz w:val="32"/>
          <w:szCs w:val="32"/>
          <w:lang w:eastAsia="zh-CN"/>
        </w:rPr>
        <w:t>一是</w:t>
      </w:r>
      <w:r>
        <w:rPr>
          <w:rFonts w:hint="eastAsia" w:ascii="仿宋_GB2312" w:eastAsia="仿宋_GB2312" w:cs="Times New Roman"/>
          <w:color w:val="auto"/>
          <w:sz w:val="32"/>
          <w:szCs w:val="32"/>
          <w:lang w:val="en-US" w:eastAsia="zh-CN"/>
        </w:rPr>
        <w:t>在基层党建工作方面，按照先进示范、后进跟进、软弱整顿的工作思路，围绕“四个创建”基层党组织示范点打造标准，每年分批次评选打造县、乡、村不同层级的党建示范点。二是在“五共五固”工作方面，立足“爱我墨脱·守我边疆”党建品牌创建，着眼丰富完善“六点三线”红色强边工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3.党校运行经费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w w:val="100"/>
          <w:kern w:val="2"/>
          <w:sz w:val="32"/>
          <w:szCs w:val="32"/>
          <w:vertAlign w:val="baseline"/>
          <w:lang w:val="en-US" w:eastAsia="zh-CN" w:bidi="ar"/>
        </w:rPr>
      </w:pPr>
      <w:r>
        <w:rPr>
          <w:rFonts w:hint="eastAsia" w:ascii="仿宋_GB2312" w:hAnsi="仿宋_GB2312" w:eastAsia="仿宋_GB2312" w:cs="仿宋_GB2312"/>
          <w:bCs/>
          <w:color w:val="auto"/>
          <w:sz w:val="32"/>
          <w:szCs w:val="32"/>
        </w:rPr>
        <w:t>党校运行经费项目绩效自评报告：根据年初设定的绩效目标，项目绩效自评得分为9</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全年预算数为</w:t>
      </w:r>
      <w:r>
        <w:rPr>
          <w:rFonts w:hint="eastAsia" w:ascii="仿宋_GB2312" w:hAnsi="仿宋_GB2312" w:eastAsia="仿宋_GB2312" w:cs="仿宋_GB2312"/>
          <w:bCs/>
          <w:color w:val="auto"/>
          <w:sz w:val="32"/>
          <w:szCs w:val="32"/>
          <w:lang w:val="en-US" w:eastAsia="zh-CN"/>
        </w:rPr>
        <w:t>180</w:t>
      </w:r>
      <w:r>
        <w:rPr>
          <w:rFonts w:hint="eastAsia" w:ascii="仿宋_GB2312" w:hAnsi="仿宋_GB2312" w:eastAsia="仿宋_GB2312" w:cs="仿宋_GB2312"/>
          <w:bCs/>
          <w:color w:val="auto"/>
          <w:sz w:val="32"/>
          <w:szCs w:val="32"/>
        </w:rPr>
        <w:t>万元、执行数为</w:t>
      </w:r>
      <w:r>
        <w:rPr>
          <w:rFonts w:hint="eastAsia" w:ascii="仿宋_GB2312" w:hAnsi="仿宋_GB2312" w:eastAsia="仿宋_GB2312" w:cs="仿宋_GB2312"/>
          <w:bCs/>
          <w:color w:val="auto"/>
          <w:sz w:val="32"/>
          <w:szCs w:val="32"/>
          <w:lang w:val="en-US" w:eastAsia="zh-CN"/>
        </w:rPr>
        <w:t>156.66</w:t>
      </w:r>
      <w:r>
        <w:rPr>
          <w:rFonts w:hint="eastAsia" w:ascii="仿宋_GB2312" w:hAnsi="仿宋_GB2312" w:eastAsia="仿宋_GB2312" w:cs="仿宋_GB2312"/>
          <w:bCs/>
          <w:color w:val="auto"/>
          <w:sz w:val="32"/>
          <w:szCs w:val="32"/>
        </w:rPr>
        <w:t>万元，完成预算的</w:t>
      </w:r>
      <w:r>
        <w:rPr>
          <w:rFonts w:hint="eastAsia" w:ascii="仿宋_GB2312" w:hAnsi="仿宋_GB2312" w:eastAsia="仿宋_GB2312" w:cs="仿宋_GB2312"/>
          <w:bCs/>
          <w:color w:val="auto"/>
          <w:sz w:val="32"/>
          <w:szCs w:val="32"/>
          <w:lang w:val="en-US" w:eastAsia="zh-CN"/>
        </w:rPr>
        <w:t>87.03</w:t>
      </w:r>
      <w:r>
        <w:rPr>
          <w:rFonts w:hint="eastAsia" w:ascii="仿宋_GB2312" w:hAnsi="仿宋_GB2312" w:eastAsia="仿宋_GB2312" w:cs="仿宋_GB2312"/>
          <w:bCs/>
          <w:color w:val="auto"/>
          <w:sz w:val="32"/>
          <w:szCs w:val="32"/>
        </w:rPr>
        <w:t>%。项目绩效目标完成情况：一是保障</w:t>
      </w:r>
      <w:r>
        <w:rPr>
          <w:rFonts w:hint="eastAsia" w:ascii="仿宋_GB2312" w:hAnsi="仿宋_GB2312" w:eastAsia="仿宋_GB2312" w:cs="仿宋_GB2312"/>
          <w:bCs/>
          <w:color w:val="auto"/>
          <w:sz w:val="32"/>
          <w:szCs w:val="32"/>
          <w:lang w:eastAsia="zh-CN"/>
        </w:rPr>
        <w:t>县委</w:t>
      </w:r>
      <w:r>
        <w:rPr>
          <w:rFonts w:hint="eastAsia" w:ascii="仿宋_GB2312" w:hAnsi="仿宋_GB2312" w:eastAsia="仿宋_GB2312" w:cs="仿宋_GB2312"/>
          <w:bCs/>
          <w:color w:val="auto"/>
          <w:sz w:val="32"/>
          <w:szCs w:val="32"/>
        </w:rPr>
        <w:t>党校日常教学运行，</w:t>
      </w:r>
      <w:r>
        <w:rPr>
          <w:rFonts w:hint="eastAsia" w:ascii="仿宋" w:hAnsi="仿宋" w:eastAsia="仿宋" w:cs="仿宋"/>
          <w:color w:val="auto"/>
          <w:w w:val="100"/>
          <w:kern w:val="2"/>
          <w:sz w:val="32"/>
          <w:szCs w:val="32"/>
          <w:vertAlign w:val="baseline"/>
          <w:lang w:val="en-US" w:eastAsia="zh-CN" w:bidi="ar"/>
        </w:rPr>
        <w:t>全年举办各类培训班21期，培训881人次，其中赴区外培训3期、101人次；开展送教上门活动20场次，培训1182人次；举办强边学堂9课，培训918人次；举办红色夜校6课，培训1302人次，发布微党课2个系列20节课程，观看人数超</w:t>
      </w:r>
      <w:r>
        <w:rPr>
          <w:rFonts w:hint="eastAsia" w:ascii="仿宋" w:hAnsi="仿宋" w:eastAsia="仿宋" w:cs="仿宋"/>
          <w:color w:val="auto"/>
          <w:w w:val="100"/>
          <w:kern w:val="2"/>
          <w:sz w:val="32"/>
          <w:szCs w:val="32"/>
          <w:highlight w:val="none"/>
          <w:vertAlign w:val="baseline"/>
          <w:lang w:val="en-US" w:eastAsia="zh-CN" w:bidi="ar"/>
        </w:rPr>
        <w:t>5</w:t>
      </w:r>
      <w:r>
        <w:rPr>
          <w:rFonts w:hint="eastAsia" w:ascii="仿宋" w:hAnsi="仿宋" w:eastAsia="仿宋" w:cs="仿宋"/>
          <w:color w:val="auto"/>
          <w:w w:val="100"/>
          <w:kern w:val="2"/>
          <w:sz w:val="32"/>
          <w:szCs w:val="32"/>
          <w:vertAlign w:val="baseline"/>
          <w:lang w:val="en-US" w:eastAsia="zh-CN" w:bidi="ar"/>
        </w:rPr>
        <w:t>万，有效提升全县各级领导干部推动高质量发展本领、服务群众本领、防范化解风险本领。</w:t>
      </w:r>
      <w:r>
        <w:rPr>
          <w:rFonts w:hint="eastAsia" w:ascii="仿宋_GB2312" w:hAnsi="仿宋_GB2312" w:eastAsia="仿宋_GB2312" w:cs="仿宋_GB2312"/>
          <w:bCs/>
          <w:color w:val="auto"/>
          <w:sz w:val="32"/>
          <w:szCs w:val="32"/>
        </w:rPr>
        <w:t>二是</w:t>
      </w:r>
      <w:r>
        <w:rPr>
          <w:rFonts w:hint="eastAsia" w:ascii="仿宋" w:hAnsi="仿宋" w:eastAsia="仿宋" w:cs="仿宋"/>
          <w:color w:val="auto"/>
          <w:w w:val="100"/>
          <w:kern w:val="2"/>
          <w:sz w:val="32"/>
          <w:szCs w:val="32"/>
          <w:vertAlign w:val="baseline"/>
          <w:lang w:val="en-US" w:eastAsia="zh-CN" w:bidi="ar"/>
        </w:rPr>
        <w:t>充实“六点三线”红色强边工程载体，申请10万元完善内部基础设施，在主体班次中合理安排现场教学内容，融入“1+N”教学模式，提高现场教学点使用率和维护力度，发挥好现场教学点功能作用。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发现的主要问题及原因：一是</w:t>
      </w:r>
      <w:r>
        <w:rPr>
          <w:rFonts w:hint="eastAsia" w:ascii="仿宋_GB2312" w:hAnsi="仿宋_GB2312" w:eastAsia="仿宋_GB2312" w:cs="仿宋_GB2312"/>
          <w:b w:val="0"/>
          <w:bCs w:val="0"/>
          <w:color w:val="auto"/>
          <w:sz w:val="32"/>
          <w:szCs w:val="40"/>
          <w:lang w:val="en-US" w:eastAsia="zh-CN"/>
        </w:rPr>
        <w:t>党校师资力量待加强。</w:t>
      </w:r>
      <w:r>
        <w:rPr>
          <w:rFonts w:hint="eastAsia" w:ascii="仿宋" w:hAnsi="仿宋" w:eastAsia="仿宋" w:cs="仿宋"/>
          <w:color w:val="auto"/>
          <w:sz w:val="32"/>
          <w:szCs w:val="40"/>
          <w:lang w:val="en-US" w:eastAsia="zh-CN"/>
        </w:rPr>
        <w:t>县级党校成立时间相对较晚，人才引进政策和教师职业发展等方面政策不成熟，存在专职教师课题研究能力弱、备课方法不活、授课经验不足等问题。</w:t>
      </w:r>
      <w:r>
        <w:rPr>
          <w:rFonts w:hint="eastAsia" w:ascii="仿宋_GB2312" w:hAnsi="仿宋_GB2312" w:eastAsia="仿宋_GB2312" w:cs="仿宋_GB2312"/>
          <w:b w:val="0"/>
          <w:bCs/>
          <w:color w:val="auto"/>
          <w:sz w:val="32"/>
          <w:szCs w:val="32"/>
        </w:rPr>
        <w:t>二是</w:t>
      </w:r>
      <w:r>
        <w:rPr>
          <w:rFonts w:hint="eastAsia" w:ascii="仿宋_GB2312" w:hAnsi="仿宋_GB2312" w:eastAsia="仿宋_GB2312" w:cs="仿宋_GB2312"/>
          <w:b w:val="0"/>
          <w:bCs/>
          <w:color w:val="auto"/>
          <w:sz w:val="32"/>
          <w:szCs w:val="40"/>
          <w:lang w:val="en-US" w:eastAsia="zh-CN"/>
        </w:rPr>
        <w:t>教育培训成效待提升。</w:t>
      </w:r>
      <w:r>
        <w:rPr>
          <w:rFonts w:hint="eastAsia" w:ascii="仿宋" w:hAnsi="仿宋" w:eastAsia="仿宋" w:cs="仿宋"/>
          <w:color w:val="auto"/>
          <w:sz w:val="32"/>
          <w:szCs w:val="40"/>
          <w:lang w:val="en-US" w:eastAsia="zh-CN"/>
        </w:rPr>
        <w:t>干部教育培训的针对性、实效性、严肃性还需增强，一方面与县委、县政府中心工作的结合还不是非常紧密，培训成果转化的效果还不是很明显；另一方面现场教学的内容挖掘不深、打造不够，教学内容多停留在已知的历史资料，现场教学点未能转化为群众的思想纽带和情感纽带。</w:t>
      </w:r>
      <w:r>
        <w:rPr>
          <w:rFonts w:hint="eastAsia" w:ascii="仿宋_GB2312" w:hAnsi="仿宋_GB2312" w:eastAsia="仿宋_GB2312" w:cs="仿宋_GB2312"/>
          <w:bCs/>
          <w:color w:val="auto"/>
          <w:sz w:val="32"/>
          <w:szCs w:val="32"/>
        </w:rPr>
        <w:t>下一步改进措施：一是</w:t>
      </w:r>
      <w:r>
        <w:rPr>
          <w:rFonts w:hint="eastAsia" w:ascii="仿宋" w:hAnsi="仿宋" w:eastAsia="仿宋" w:cs="仿宋"/>
          <w:color w:val="auto"/>
          <w:kern w:val="2"/>
          <w:sz w:val="32"/>
          <w:szCs w:val="20"/>
          <w:lang w:val="en-US" w:eastAsia="zh-CN" w:bidi="ar"/>
        </w:rPr>
        <w:t>实施“名师工程”，通过培训深造、挂职锻炼等途径，提高教师科研资政、教育培训和服务管理水平；</w:t>
      </w:r>
      <w:r>
        <w:rPr>
          <w:rFonts w:hint="eastAsia" w:ascii="仿宋_GB2312" w:hAnsi="仿宋_GB2312" w:eastAsia="仿宋_GB2312" w:cs="仿宋_GB2312"/>
          <w:bCs/>
          <w:color w:val="auto"/>
          <w:sz w:val="32"/>
          <w:szCs w:val="32"/>
        </w:rPr>
        <w:t>二是</w:t>
      </w:r>
      <w:r>
        <w:rPr>
          <w:rFonts w:hint="eastAsia" w:ascii="仿宋" w:hAnsi="仿宋" w:eastAsia="仿宋" w:cs="仿宋"/>
          <w:color w:val="auto"/>
          <w:kern w:val="2"/>
          <w:sz w:val="32"/>
          <w:szCs w:val="32"/>
          <w:lang w:val="en-US" w:eastAsia="zh-CN" w:bidi="ar-SA"/>
        </w:rPr>
        <w:t>加强订单式培训，针对不同的培训对象，分类分批开展调训，避免重复调训，办好理论教育、党性教育和专业能力培训等基本培训，切实提升干部教育培训质量。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2024年度，我部门对13个一般公共预算项目开展部门评价，涉及资金2216.33万元，评价结果整体为“良好”。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从资金使用来看：13个项目平均预算执行率达9</w:t>
      </w:r>
      <w:r>
        <w:rPr>
          <w:rFonts w:hint="eastAsia" w:ascii="仿宋_GB2312" w:hAnsi="仿宋_GB2312" w:eastAsia="仿宋_GB2312" w:cs="仿宋_GB2312"/>
          <w:color w:val="auto"/>
          <w:kern w:val="0"/>
          <w:sz w:val="32"/>
          <w:szCs w:val="32"/>
          <w:lang w:val="en-US" w:eastAsia="zh-CN" w:bidi="ar"/>
        </w:rPr>
        <w:t>5.67</w:t>
      </w:r>
      <w:r>
        <w:rPr>
          <w:rFonts w:hint="eastAsia" w:ascii="仿宋_GB2312" w:hAnsi="仿宋_GB2312" w:eastAsia="仿宋_GB2312" w:cs="仿宋_GB2312"/>
          <w:color w:val="auto"/>
          <w:kern w:val="0"/>
          <w:sz w:val="32"/>
          <w:szCs w:val="32"/>
          <w:lang w:bidi="ar"/>
        </w:rPr>
        <w:t>%，资金拨付及时，未出现截留、挤占、挪用等情况，符合财务管理制度要求。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从绩效目标来看：</w:t>
      </w:r>
      <w:r>
        <w:rPr>
          <w:rFonts w:hint="eastAsia" w:ascii="仿宋_GB2312" w:hAnsi="仿宋_GB2312" w:eastAsia="仿宋_GB2312" w:cs="仿宋_GB2312"/>
          <w:color w:val="auto"/>
          <w:kern w:val="0"/>
          <w:sz w:val="32"/>
          <w:szCs w:val="32"/>
          <w:lang w:val="en-US" w:eastAsia="zh-CN" w:bidi="ar"/>
        </w:rPr>
        <w:t>12</w:t>
      </w:r>
      <w:r>
        <w:rPr>
          <w:rFonts w:hint="eastAsia" w:ascii="仿宋_GB2312" w:hAnsi="仿宋_GB2312" w:eastAsia="仿宋_GB2312" w:cs="仿宋_GB2312"/>
          <w:color w:val="auto"/>
          <w:kern w:val="0"/>
          <w:sz w:val="32"/>
          <w:szCs w:val="32"/>
          <w:lang w:bidi="ar"/>
        </w:rPr>
        <w:t>个项目达成全部预期目标（如驻村生活补助、</w:t>
      </w:r>
      <w:r>
        <w:rPr>
          <w:rFonts w:hint="eastAsia" w:ascii="仿宋_GB2312" w:hAnsi="仿宋_GB2312" w:eastAsia="仿宋_GB2312" w:cs="仿宋_GB2312"/>
          <w:color w:val="auto"/>
          <w:kern w:val="0"/>
          <w:sz w:val="32"/>
          <w:szCs w:val="32"/>
          <w:lang w:eastAsia="zh-CN" w:bidi="ar"/>
        </w:rPr>
        <w:t>乡村振兴专干工资及社保、退休干部职工护工费、人才工作经费</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个项目部分目标因</w:t>
      </w:r>
      <w:r>
        <w:rPr>
          <w:rFonts w:hint="eastAsia" w:ascii="仿宋_GB2312" w:hAnsi="仿宋_GB2312" w:eastAsia="仿宋_GB2312" w:cs="仿宋_GB2312"/>
          <w:color w:val="auto"/>
          <w:kern w:val="0"/>
          <w:sz w:val="32"/>
          <w:szCs w:val="32"/>
          <w:lang w:eastAsia="zh-CN" w:bidi="ar"/>
        </w:rPr>
        <w:t>项目实施进度</w:t>
      </w:r>
      <w:r>
        <w:rPr>
          <w:rFonts w:hint="eastAsia" w:ascii="仿宋_GB2312" w:hAnsi="仿宋_GB2312" w:eastAsia="仿宋_GB2312" w:cs="仿宋_GB2312"/>
          <w:color w:val="auto"/>
          <w:kern w:val="0"/>
          <w:sz w:val="32"/>
          <w:szCs w:val="32"/>
          <w:lang w:bidi="ar"/>
        </w:rPr>
        <w:t>略有滞后，</w:t>
      </w:r>
      <w:r>
        <w:rPr>
          <w:rFonts w:hint="eastAsia" w:ascii="仿宋_GB2312" w:hAnsi="仿宋_GB2312" w:eastAsia="仿宋_GB2312" w:cs="仿宋_GB2312"/>
          <w:color w:val="auto"/>
          <w:kern w:val="0"/>
          <w:sz w:val="32"/>
          <w:szCs w:val="32"/>
          <w:lang w:eastAsia="zh-CN" w:bidi="ar"/>
        </w:rPr>
        <w:t>后续积极推进相关工作顺利完成</w:t>
      </w:r>
      <w:r>
        <w:rPr>
          <w:rFonts w:hint="eastAsia" w:ascii="仿宋_GB2312" w:hAnsi="仿宋_GB2312" w:eastAsia="仿宋_GB2312" w:cs="仿宋_GB2312"/>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5262_WPSOffice_Level2"/>
      <w:bookmarkStart w:id="96" w:name="_Toc15565_WPSOffice_Level2"/>
      <w:bookmarkStart w:id="97" w:name="_Toc23598_WPSOffice_Level2"/>
      <w:bookmarkStart w:id="98" w:name="_Toc18325_WPSOffice_Level2"/>
      <w:bookmarkStart w:id="99" w:name="_Toc32639_WPSOffice_Level2"/>
      <w:bookmarkStart w:id="100" w:name="_Toc597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bidi="ar"/>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县委组织</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51.39</w:t>
      </w:r>
      <w:r>
        <w:rPr>
          <w:rFonts w:hint="eastAsia" w:ascii="仿宋_GB2312" w:hAnsi="ˎ̥" w:eastAsia="仿宋_GB2312"/>
          <w:color w:val="auto"/>
          <w:sz w:val="32"/>
          <w:szCs w:val="32"/>
        </w:rPr>
        <w:t>万元，比年初预算增加</w:t>
      </w:r>
      <w:r>
        <w:rPr>
          <w:rFonts w:hint="eastAsia" w:ascii="仿宋_GB2312" w:hAnsi="ˎ̥" w:eastAsia="仿宋_GB2312"/>
          <w:color w:val="auto"/>
          <w:sz w:val="32"/>
          <w:szCs w:val="32"/>
          <w:lang w:val="en-US" w:eastAsia="zh-CN"/>
        </w:rPr>
        <w:t>3.29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10.29</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增长25.04%。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bidi="ar"/>
        </w:rPr>
        <w:t>一是</w:t>
      </w:r>
      <w:r>
        <w:rPr>
          <w:rFonts w:hint="eastAsia" w:ascii="仿宋_GB2312" w:hAnsi="ˎ̥" w:eastAsia="仿宋_GB2312"/>
          <w:color w:val="auto"/>
          <w:sz w:val="32"/>
          <w:szCs w:val="32"/>
          <w:lang w:bidi="ar"/>
        </w:rPr>
        <w:t>人员编制数量增加</w:t>
      </w:r>
      <w:r>
        <w:rPr>
          <w:rFonts w:hint="eastAsia" w:ascii="仿宋_GB2312" w:hAnsi="ˎ̥" w:eastAsia="仿宋_GB2312"/>
          <w:color w:val="auto"/>
          <w:sz w:val="32"/>
          <w:szCs w:val="32"/>
          <w:lang w:eastAsia="zh-CN" w:bidi="ar"/>
        </w:rPr>
        <w:t>；二是公务用车</w:t>
      </w:r>
      <w:bookmarkStart w:id="119" w:name="_GoBack"/>
      <w:bookmarkEnd w:id="119"/>
      <w:r>
        <w:rPr>
          <w:rFonts w:hint="eastAsia" w:ascii="仿宋_GB2312" w:hAnsi="ˎ̥" w:eastAsia="仿宋_GB2312"/>
          <w:color w:val="auto"/>
          <w:sz w:val="32"/>
          <w:szCs w:val="32"/>
          <w:lang w:eastAsia="zh-CN" w:bidi="ar"/>
        </w:rPr>
        <w:t>运行维护费增加。</w:t>
      </w:r>
      <w:bookmarkStart w:id="101" w:name="_Toc32689_WPSOffice_Level2"/>
      <w:bookmarkStart w:id="102" w:name="_Toc25333_WPSOffice_Level2"/>
      <w:bookmarkStart w:id="103" w:name="_Toc13084_WPSOffice_Level2"/>
      <w:bookmarkStart w:id="104" w:name="_Toc23966_WPSOffice_Level2"/>
      <w:bookmarkStart w:id="105" w:name="_Toc3131_WPSOffice_Level2"/>
      <w:bookmarkStart w:id="106" w:name="_Toc30383_WPSOffice_Level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202</w:t>
      </w:r>
      <w:r>
        <w:rPr>
          <w:rFonts w:hint="eastAsia" w:ascii="仿宋" w:hAnsi="仿宋" w:eastAsia="仿宋" w:cs="仿宋"/>
          <w:i w:val="0"/>
          <w:iCs w:val="0"/>
          <w:caps w:val="0"/>
          <w:color w:val="auto"/>
          <w:spacing w:val="0"/>
          <w:sz w:val="32"/>
          <w:szCs w:val="32"/>
          <w:shd w:val="clear" w:color="auto" w:fill="FFFFFF"/>
          <w:lang w:val="en-US" w:eastAsia="zh-CN"/>
        </w:rPr>
        <w:t>4</w:t>
      </w:r>
      <w:r>
        <w:rPr>
          <w:rFonts w:hint="eastAsia" w:ascii="仿宋" w:hAnsi="仿宋" w:eastAsia="仿宋" w:cs="仿宋"/>
          <w:i w:val="0"/>
          <w:iCs w:val="0"/>
          <w:caps w:val="0"/>
          <w:color w:val="auto"/>
          <w:spacing w:val="0"/>
          <w:sz w:val="32"/>
          <w:szCs w:val="32"/>
          <w:shd w:val="clear" w:color="auto" w:fill="FFFFFF"/>
        </w:rPr>
        <w:t>年</w:t>
      </w:r>
      <w:r>
        <w:rPr>
          <w:rFonts w:hint="eastAsia" w:ascii="仿宋" w:hAnsi="仿宋" w:eastAsia="仿宋" w:cs="仿宋"/>
          <w:i w:val="0"/>
          <w:iCs w:val="0"/>
          <w:caps w:val="0"/>
          <w:color w:val="auto"/>
          <w:spacing w:val="0"/>
          <w:sz w:val="32"/>
          <w:szCs w:val="32"/>
          <w:shd w:val="clear" w:color="auto" w:fill="FFFFFF"/>
          <w:lang w:val="en-US" w:eastAsia="zh-CN"/>
        </w:rPr>
        <w:t>度</w:t>
      </w:r>
      <w:r>
        <w:rPr>
          <w:rFonts w:hint="eastAsia" w:ascii="仿宋" w:hAnsi="仿宋" w:eastAsia="仿宋" w:cs="仿宋"/>
          <w:i w:val="0"/>
          <w:iCs w:val="0"/>
          <w:caps w:val="0"/>
          <w:color w:val="auto"/>
          <w:spacing w:val="0"/>
          <w:sz w:val="32"/>
          <w:szCs w:val="32"/>
          <w:shd w:val="clear" w:color="auto" w:fill="FFFFFF"/>
        </w:rPr>
        <w:t>未单独安排政府采购经费，也未发生政府采购行为。</w:t>
      </w:r>
      <w:bookmarkStart w:id="107" w:name="_Toc6016_WPSOffice_Level2"/>
      <w:bookmarkStart w:id="108" w:name="_Toc527_WPSOffice_Level2"/>
      <w:bookmarkStart w:id="109" w:name="_Toc19989_WPSOffice_Level2"/>
      <w:bookmarkStart w:id="110" w:name="_Toc10902_WPSOffice_Level2"/>
      <w:bookmarkStart w:id="111" w:name="_Toc29584_WPSOffice_Level2"/>
      <w:bookmarkStart w:id="112" w:name="_Toc15129_WPSOffice_Level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辆，其中</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主要负责人用车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w:t>
      </w:r>
      <w:r>
        <w:rPr>
          <w:rFonts w:hint="eastAsia" w:ascii="仿宋_GB2312" w:hAnsi="ˎ̥" w:eastAsia="仿宋_GB2312"/>
          <w:color w:val="auto"/>
          <w:sz w:val="32"/>
          <w:szCs w:val="32"/>
          <w:lang w:eastAsia="zh-CN"/>
        </w:rPr>
        <w:t>县委党校用车</w:t>
      </w:r>
      <w:r>
        <w:rPr>
          <w:rFonts w:hint="eastAsia" w:ascii="仿宋_GB2312" w:hAnsi="ˎ̥" w:eastAsia="仿宋_GB2312"/>
          <w:color w:val="auto"/>
          <w:sz w:val="32"/>
          <w:szCs w:val="32"/>
          <w:lang w:val="en-US" w:eastAsia="zh-CN"/>
        </w:rPr>
        <w:t>1辆</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8808_WPSOffice_Level1"/>
      <w:bookmarkStart w:id="114" w:name="_Toc11039_WPSOffice_Level1"/>
      <w:bookmarkStart w:id="115" w:name="_Toc15425_WPSOffice_Level1"/>
      <w:bookmarkStart w:id="116" w:name="_Toc4398_WPSOffice_Level1"/>
      <w:bookmarkStart w:id="117" w:name="_Toc8874_WPSOffice_Level1"/>
      <w:bookmarkStart w:id="118" w:name="_Toc17580_WPSOffice_Level1"/>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18</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CA89EBEB"/>
    <w:multiLevelType w:val="singleLevel"/>
    <w:tmpl w:val="CA89EBEB"/>
    <w:lvl w:ilvl="0" w:tentative="0">
      <w:start w:val="2"/>
      <w:numFmt w:val="chineseCounting"/>
      <w:suff w:val="nothing"/>
      <w:lvlText w:val="（%1）"/>
      <w:lvlJc w:val="left"/>
      <w:rPr>
        <w:rFonts w:hint="eastAsia"/>
      </w:rPr>
    </w:lvl>
  </w:abstractNum>
  <w:abstractNum w:abstractNumId="2">
    <w:nsid w:val="087F22D3"/>
    <w:multiLevelType w:val="singleLevel"/>
    <w:tmpl w:val="087F22D3"/>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7369B"/>
    <w:rsid w:val="006B0D64"/>
    <w:rsid w:val="00731FC7"/>
    <w:rsid w:val="00740E64"/>
    <w:rsid w:val="00754F6E"/>
    <w:rsid w:val="007A4101"/>
    <w:rsid w:val="008232A9"/>
    <w:rsid w:val="00896ADB"/>
    <w:rsid w:val="009A2744"/>
    <w:rsid w:val="00A54A37"/>
    <w:rsid w:val="00A70448"/>
    <w:rsid w:val="00AA19F3"/>
    <w:rsid w:val="00AC28EE"/>
    <w:rsid w:val="00AC3F0E"/>
    <w:rsid w:val="00AC5250"/>
    <w:rsid w:val="00B318A9"/>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E45044"/>
    <w:rsid w:val="025F59CD"/>
    <w:rsid w:val="02862687"/>
    <w:rsid w:val="02A2356C"/>
    <w:rsid w:val="02FD7232"/>
    <w:rsid w:val="03192434"/>
    <w:rsid w:val="032A3AB5"/>
    <w:rsid w:val="03560729"/>
    <w:rsid w:val="03C3109F"/>
    <w:rsid w:val="03EA63DC"/>
    <w:rsid w:val="05816F1D"/>
    <w:rsid w:val="05B73EF9"/>
    <w:rsid w:val="05DE341B"/>
    <w:rsid w:val="05F906F0"/>
    <w:rsid w:val="068343EE"/>
    <w:rsid w:val="06A9646C"/>
    <w:rsid w:val="07100174"/>
    <w:rsid w:val="07474ABF"/>
    <w:rsid w:val="07A56BDA"/>
    <w:rsid w:val="07E0342A"/>
    <w:rsid w:val="07FE717A"/>
    <w:rsid w:val="083D637B"/>
    <w:rsid w:val="09201287"/>
    <w:rsid w:val="098C37CE"/>
    <w:rsid w:val="0A0327FF"/>
    <w:rsid w:val="0A57372D"/>
    <w:rsid w:val="0A6A472D"/>
    <w:rsid w:val="0A836F54"/>
    <w:rsid w:val="0ACC7569"/>
    <w:rsid w:val="0B1C4969"/>
    <w:rsid w:val="0B597ADA"/>
    <w:rsid w:val="0B5E042F"/>
    <w:rsid w:val="0BC27C60"/>
    <w:rsid w:val="0C2047AF"/>
    <w:rsid w:val="0C293C87"/>
    <w:rsid w:val="0C324712"/>
    <w:rsid w:val="0C3E13C4"/>
    <w:rsid w:val="0D064B50"/>
    <w:rsid w:val="0D3B332A"/>
    <w:rsid w:val="0D4A2F60"/>
    <w:rsid w:val="0D7B109B"/>
    <w:rsid w:val="0E317271"/>
    <w:rsid w:val="0E677F4D"/>
    <w:rsid w:val="0EEA7EA5"/>
    <w:rsid w:val="0EF9623D"/>
    <w:rsid w:val="0FC80124"/>
    <w:rsid w:val="10323EEB"/>
    <w:rsid w:val="10595C4E"/>
    <w:rsid w:val="10597442"/>
    <w:rsid w:val="1067139C"/>
    <w:rsid w:val="11705A71"/>
    <w:rsid w:val="119A2F09"/>
    <w:rsid w:val="11FD069A"/>
    <w:rsid w:val="12632555"/>
    <w:rsid w:val="12F30EC6"/>
    <w:rsid w:val="13045B58"/>
    <w:rsid w:val="131A1B0A"/>
    <w:rsid w:val="133B7207"/>
    <w:rsid w:val="1357315B"/>
    <w:rsid w:val="136F98C7"/>
    <w:rsid w:val="13C359B3"/>
    <w:rsid w:val="14BE2586"/>
    <w:rsid w:val="14BF01C2"/>
    <w:rsid w:val="151412DC"/>
    <w:rsid w:val="158B66B7"/>
    <w:rsid w:val="15D03DAE"/>
    <w:rsid w:val="15E948D8"/>
    <w:rsid w:val="16315D02"/>
    <w:rsid w:val="16643348"/>
    <w:rsid w:val="168D73FD"/>
    <w:rsid w:val="16BA08F6"/>
    <w:rsid w:val="17380B31"/>
    <w:rsid w:val="17427E68"/>
    <w:rsid w:val="174F43A5"/>
    <w:rsid w:val="1755065F"/>
    <w:rsid w:val="179C112D"/>
    <w:rsid w:val="17D11625"/>
    <w:rsid w:val="180D2BDC"/>
    <w:rsid w:val="18F01319"/>
    <w:rsid w:val="19550115"/>
    <w:rsid w:val="19562788"/>
    <w:rsid w:val="19645CC6"/>
    <w:rsid w:val="19C95EA8"/>
    <w:rsid w:val="1A070756"/>
    <w:rsid w:val="1A325EAC"/>
    <w:rsid w:val="1A7303B3"/>
    <w:rsid w:val="1AB2487F"/>
    <w:rsid w:val="1AFC29C9"/>
    <w:rsid w:val="1B981F36"/>
    <w:rsid w:val="1BBF7C1C"/>
    <w:rsid w:val="1BD26B1C"/>
    <w:rsid w:val="1C0B69DE"/>
    <w:rsid w:val="1C58495C"/>
    <w:rsid w:val="1C6A4E13"/>
    <w:rsid w:val="1CA52F2E"/>
    <w:rsid w:val="1CBA4EBB"/>
    <w:rsid w:val="1CE24F4A"/>
    <w:rsid w:val="1D253E52"/>
    <w:rsid w:val="1D2E6D05"/>
    <w:rsid w:val="1D5B48EF"/>
    <w:rsid w:val="1D71767A"/>
    <w:rsid w:val="1DFE370B"/>
    <w:rsid w:val="1E3630B9"/>
    <w:rsid w:val="1E5018A4"/>
    <w:rsid w:val="1E55653F"/>
    <w:rsid w:val="1F023E38"/>
    <w:rsid w:val="1F327CFB"/>
    <w:rsid w:val="1F3F4E1A"/>
    <w:rsid w:val="1F71724C"/>
    <w:rsid w:val="1F770977"/>
    <w:rsid w:val="203B2C6E"/>
    <w:rsid w:val="20EA7DFD"/>
    <w:rsid w:val="211D6BB2"/>
    <w:rsid w:val="215830EA"/>
    <w:rsid w:val="215D6103"/>
    <w:rsid w:val="21B2191E"/>
    <w:rsid w:val="21E522BF"/>
    <w:rsid w:val="223D5067"/>
    <w:rsid w:val="22920E66"/>
    <w:rsid w:val="230677D8"/>
    <w:rsid w:val="230B590E"/>
    <w:rsid w:val="23780188"/>
    <w:rsid w:val="23C5649F"/>
    <w:rsid w:val="23DB5B12"/>
    <w:rsid w:val="23E93F56"/>
    <w:rsid w:val="242D0CB0"/>
    <w:rsid w:val="244002E9"/>
    <w:rsid w:val="24447A9A"/>
    <w:rsid w:val="24C821D8"/>
    <w:rsid w:val="24EB4951"/>
    <w:rsid w:val="24FA31D8"/>
    <w:rsid w:val="2572143D"/>
    <w:rsid w:val="2574703A"/>
    <w:rsid w:val="25922372"/>
    <w:rsid w:val="26AC5E11"/>
    <w:rsid w:val="26EEC2B5"/>
    <w:rsid w:val="27916EC7"/>
    <w:rsid w:val="27C4140B"/>
    <w:rsid w:val="28703CAF"/>
    <w:rsid w:val="288609E4"/>
    <w:rsid w:val="28C45363"/>
    <w:rsid w:val="28D11911"/>
    <w:rsid w:val="2914673D"/>
    <w:rsid w:val="29472309"/>
    <w:rsid w:val="2985776A"/>
    <w:rsid w:val="2A7A50E3"/>
    <w:rsid w:val="2ABA1C98"/>
    <w:rsid w:val="2AC06979"/>
    <w:rsid w:val="2B406E77"/>
    <w:rsid w:val="2BD341FD"/>
    <w:rsid w:val="2C2A0C43"/>
    <w:rsid w:val="2C563C27"/>
    <w:rsid w:val="2CD9463D"/>
    <w:rsid w:val="2D1E73A5"/>
    <w:rsid w:val="2DF110AF"/>
    <w:rsid w:val="2E6414DA"/>
    <w:rsid w:val="2E91076C"/>
    <w:rsid w:val="2EAE3AFB"/>
    <w:rsid w:val="2F116DDB"/>
    <w:rsid w:val="2FF019CA"/>
    <w:rsid w:val="2FFD3E4C"/>
    <w:rsid w:val="300752CE"/>
    <w:rsid w:val="30147A18"/>
    <w:rsid w:val="307254CF"/>
    <w:rsid w:val="30B70B34"/>
    <w:rsid w:val="310C4E1C"/>
    <w:rsid w:val="31370518"/>
    <w:rsid w:val="31457148"/>
    <w:rsid w:val="319005F3"/>
    <w:rsid w:val="31BE0BBB"/>
    <w:rsid w:val="325638CD"/>
    <w:rsid w:val="32717154"/>
    <w:rsid w:val="32FF3FB9"/>
    <w:rsid w:val="331B29F1"/>
    <w:rsid w:val="335946FF"/>
    <w:rsid w:val="335F5A28"/>
    <w:rsid w:val="338E380D"/>
    <w:rsid w:val="33C07642"/>
    <w:rsid w:val="344055F3"/>
    <w:rsid w:val="345E510F"/>
    <w:rsid w:val="34785683"/>
    <w:rsid w:val="34A05D9D"/>
    <w:rsid w:val="34B63260"/>
    <w:rsid w:val="34DD46BD"/>
    <w:rsid w:val="350C79BF"/>
    <w:rsid w:val="352D7B6A"/>
    <w:rsid w:val="358111B0"/>
    <w:rsid w:val="36890326"/>
    <w:rsid w:val="369E4B5F"/>
    <w:rsid w:val="36FD023F"/>
    <w:rsid w:val="37626965"/>
    <w:rsid w:val="37B02723"/>
    <w:rsid w:val="37D25758"/>
    <w:rsid w:val="37F95967"/>
    <w:rsid w:val="37FDA7E2"/>
    <w:rsid w:val="38800553"/>
    <w:rsid w:val="38D2299F"/>
    <w:rsid w:val="391F7C1B"/>
    <w:rsid w:val="39627B72"/>
    <w:rsid w:val="39886210"/>
    <w:rsid w:val="39D75D6B"/>
    <w:rsid w:val="3A221329"/>
    <w:rsid w:val="3A314D88"/>
    <w:rsid w:val="3A746883"/>
    <w:rsid w:val="3A8E68C5"/>
    <w:rsid w:val="3AC672A2"/>
    <w:rsid w:val="3AD23D49"/>
    <w:rsid w:val="3AFE1F63"/>
    <w:rsid w:val="3B27389A"/>
    <w:rsid w:val="3C171CE7"/>
    <w:rsid w:val="3C404C0F"/>
    <w:rsid w:val="3C4A2833"/>
    <w:rsid w:val="3C4C5A1B"/>
    <w:rsid w:val="3C6C2BC1"/>
    <w:rsid w:val="3C6F3EBB"/>
    <w:rsid w:val="3CA15DE9"/>
    <w:rsid w:val="3CBD279F"/>
    <w:rsid w:val="3D15151E"/>
    <w:rsid w:val="3D3C2D69"/>
    <w:rsid w:val="3DB03A3D"/>
    <w:rsid w:val="3DB84668"/>
    <w:rsid w:val="3E5E1541"/>
    <w:rsid w:val="3E6D3BEF"/>
    <w:rsid w:val="3E760648"/>
    <w:rsid w:val="3ED6753A"/>
    <w:rsid w:val="3EE57B05"/>
    <w:rsid w:val="3F6E3AA2"/>
    <w:rsid w:val="3FE30759"/>
    <w:rsid w:val="3FE61EE5"/>
    <w:rsid w:val="404E5832"/>
    <w:rsid w:val="406508EE"/>
    <w:rsid w:val="40761F71"/>
    <w:rsid w:val="408D6263"/>
    <w:rsid w:val="41187E01"/>
    <w:rsid w:val="418F13F0"/>
    <w:rsid w:val="41B40CEE"/>
    <w:rsid w:val="41BB08AD"/>
    <w:rsid w:val="41D479F5"/>
    <w:rsid w:val="41DA4FE9"/>
    <w:rsid w:val="420B6103"/>
    <w:rsid w:val="42C23A33"/>
    <w:rsid w:val="432C4CA8"/>
    <w:rsid w:val="436E32B9"/>
    <w:rsid w:val="4373051A"/>
    <w:rsid w:val="43D320F0"/>
    <w:rsid w:val="43DF60BC"/>
    <w:rsid w:val="442721D8"/>
    <w:rsid w:val="44FD1051"/>
    <w:rsid w:val="44FF714F"/>
    <w:rsid w:val="45026CB9"/>
    <w:rsid w:val="45342940"/>
    <w:rsid w:val="459B10EA"/>
    <w:rsid w:val="463E753B"/>
    <w:rsid w:val="465840B9"/>
    <w:rsid w:val="468B6FFE"/>
    <w:rsid w:val="46D41EB5"/>
    <w:rsid w:val="46D57C6F"/>
    <w:rsid w:val="47482CA6"/>
    <w:rsid w:val="4776674A"/>
    <w:rsid w:val="477D4A24"/>
    <w:rsid w:val="47AF4A9E"/>
    <w:rsid w:val="47E81021"/>
    <w:rsid w:val="47FE6287"/>
    <w:rsid w:val="48165EF1"/>
    <w:rsid w:val="481C3786"/>
    <w:rsid w:val="48255605"/>
    <w:rsid w:val="48317291"/>
    <w:rsid w:val="48421A3A"/>
    <w:rsid w:val="485F7024"/>
    <w:rsid w:val="488F3529"/>
    <w:rsid w:val="489C4EEC"/>
    <w:rsid w:val="48B64063"/>
    <w:rsid w:val="48E70666"/>
    <w:rsid w:val="490F154B"/>
    <w:rsid w:val="49E7018A"/>
    <w:rsid w:val="49FA0C41"/>
    <w:rsid w:val="4A354965"/>
    <w:rsid w:val="4A3F1EC2"/>
    <w:rsid w:val="4B174FE2"/>
    <w:rsid w:val="4B936136"/>
    <w:rsid w:val="4BA3118E"/>
    <w:rsid w:val="4BA93BFF"/>
    <w:rsid w:val="4BB970FE"/>
    <w:rsid w:val="4BCB145C"/>
    <w:rsid w:val="4BF62DCD"/>
    <w:rsid w:val="4C47601D"/>
    <w:rsid w:val="4C6877E5"/>
    <w:rsid w:val="4C7D2AD6"/>
    <w:rsid w:val="4D6A468D"/>
    <w:rsid w:val="4E713EAC"/>
    <w:rsid w:val="4EA86137"/>
    <w:rsid w:val="4EB30003"/>
    <w:rsid w:val="4ECB7285"/>
    <w:rsid w:val="4ED80BDA"/>
    <w:rsid w:val="4F2A0FD1"/>
    <w:rsid w:val="4F5001EE"/>
    <w:rsid w:val="4F872B71"/>
    <w:rsid w:val="4F9B04B3"/>
    <w:rsid w:val="4FBA5630"/>
    <w:rsid w:val="4FE317B2"/>
    <w:rsid w:val="502C1C95"/>
    <w:rsid w:val="5083513E"/>
    <w:rsid w:val="51663B40"/>
    <w:rsid w:val="51CF3F69"/>
    <w:rsid w:val="51D67EDF"/>
    <w:rsid w:val="523007E5"/>
    <w:rsid w:val="52822870"/>
    <w:rsid w:val="52936C77"/>
    <w:rsid w:val="52F12154"/>
    <w:rsid w:val="52F142CF"/>
    <w:rsid w:val="53761EB8"/>
    <w:rsid w:val="537E315C"/>
    <w:rsid w:val="540F0085"/>
    <w:rsid w:val="543E52CC"/>
    <w:rsid w:val="546073D9"/>
    <w:rsid w:val="54660C4D"/>
    <w:rsid w:val="546628DD"/>
    <w:rsid w:val="54E35752"/>
    <w:rsid w:val="54F10B2C"/>
    <w:rsid w:val="5549372D"/>
    <w:rsid w:val="55514960"/>
    <w:rsid w:val="56776835"/>
    <w:rsid w:val="567C782B"/>
    <w:rsid w:val="56BF561B"/>
    <w:rsid w:val="56CA7FD0"/>
    <w:rsid w:val="57144F48"/>
    <w:rsid w:val="574548F2"/>
    <w:rsid w:val="57502BA5"/>
    <w:rsid w:val="577F41F3"/>
    <w:rsid w:val="57C63C16"/>
    <w:rsid w:val="57FA38D1"/>
    <w:rsid w:val="5808166A"/>
    <w:rsid w:val="581A48C6"/>
    <w:rsid w:val="588865E8"/>
    <w:rsid w:val="589E2FCD"/>
    <w:rsid w:val="58BB10CD"/>
    <w:rsid w:val="58D57003"/>
    <w:rsid w:val="58E4589B"/>
    <w:rsid w:val="593F765B"/>
    <w:rsid w:val="594B411D"/>
    <w:rsid w:val="594D7A39"/>
    <w:rsid w:val="599800CF"/>
    <w:rsid w:val="59C53F20"/>
    <w:rsid w:val="5A744DFC"/>
    <w:rsid w:val="5AC573EF"/>
    <w:rsid w:val="5AED36A5"/>
    <w:rsid w:val="5B193EB6"/>
    <w:rsid w:val="5B203C57"/>
    <w:rsid w:val="5B3D0008"/>
    <w:rsid w:val="5B9F6A0B"/>
    <w:rsid w:val="5C1A7A64"/>
    <w:rsid w:val="5C450BC1"/>
    <w:rsid w:val="5D5962DB"/>
    <w:rsid w:val="5D6F5077"/>
    <w:rsid w:val="5DA60394"/>
    <w:rsid w:val="5DEA1B71"/>
    <w:rsid w:val="5E6D62AC"/>
    <w:rsid w:val="5EF93703"/>
    <w:rsid w:val="5F4948DB"/>
    <w:rsid w:val="5F7D3333"/>
    <w:rsid w:val="5F873473"/>
    <w:rsid w:val="5FD07BFE"/>
    <w:rsid w:val="60236CA7"/>
    <w:rsid w:val="604A1A78"/>
    <w:rsid w:val="605C6B76"/>
    <w:rsid w:val="6071536A"/>
    <w:rsid w:val="60D56615"/>
    <w:rsid w:val="60F8440E"/>
    <w:rsid w:val="61017015"/>
    <w:rsid w:val="612E72E0"/>
    <w:rsid w:val="61385890"/>
    <w:rsid w:val="618D7EE6"/>
    <w:rsid w:val="622415C6"/>
    <w:rsid w:val="62342A1E"/>
    <w:rsid w:val="623F0353"/>
    <w:rsid w:val="627D7115"/>
    <w:rsid w:val="62816ED5"/>
    <w:rsid w:val="638974CA"/>
    <w:rsid w:val="64090912"/>
    <w:rsid w:val="64904786"/>
    <w:rsid w:val="6504510C"/>
    <w:rsid w:val="65190E44"/>
    <w:rsid w:val="65641E24"/>
    <w:rsid w:val="664B5466"/>
    <w:rsid w:val="6654714A"/>
    <w:rsid w:val="6669106B"/>
    <w:rsid w:val="670D14C7"/>
    <w:rsid w:val="672B1539"/>
    <w:rsid w:val="67A0198F"/>
    <w:rsid w:val="67E1404D"/>
    <w:rsid w:val="687436E1"/>
    <w:rsid w:val="692663E9"/>
    <w:rsid w:val="699D094F"/>
    <w:rsid w:val="6A140961"/>
    <w:rsid w:val="6A161881"/>
    <w:rsid w:val="6A224F15"/>
    <w:rsid w:val="6A716F6E"/>
    <w:rsid w:val="6AB503CD"/>
    <w:rsid w:val="6AE713B0"/>
    <w:rsid w:val="6B0F0549"/>
    <w:rsid w:val="6BA30606"/>
    <w:rsid w:val="6BD20736"/>
    <w:rsid w:val="6C4F5243"/>
    <w:rsid w:val="6CA82D82"/>
    <w:rsid w:val="6CD10532"/>
    <w:rsid w:val="6CD24DE4"/>
    <w:rsid w:val="6D071953"/>
    <w:rsid w:val="6D206382"/>
    <w:rsid w:val="6D72503C"/>
    <w:rsid w:val="6DA45C50"/>
    <w:rsid w:val="6DCE5EBC"/>
    <w:rsid w:val="6E5715C5"/>
    <w:rsid w:val="6E902CA9"/>
    <w:rsid w:val="6E9A7825"/>
    <w:rsid w:val="6EA62171"/>
    <w:rsid w:val="6EF475D0"/>
    <w:rsid w:val="6F670F9B"/>
    <w:rsid w:val="6FF0153F"/>
    <w:rsid w:val="6FF812EB"/>
    <w:rsid w:val="6FF831D2"/>
    <w:rsid w:val="6FFA1DE8"/>
    <w:rsid w:val="700215D2"/>
    <w:rsid w:val="70A417BC"/>
    <w:rsid w:val="713B799A"/>
    <w:rsid w:val="71B87617"/>
    <w:rsid w:val="71D97E78"/>
    <w:rsid w:val="726569BD"/>
    <w:rsid w:val="7267484C"/>
    <w:rsid w:val="73404AAC"/>
    <w:rsid w:val="7364305B"/>
    <w:rsid w:val="737450E0"/>
    <w:rsid w:val="737E1D25"/>
    <w:rsid w:val="74054476"/>
    <w:rsid w:val="742F38C4"/>
    <w:rsid w:val="74486EA8"/>
    <w:rsid w:val="74AB66DC"/>
    <w:rsid w:val="74C4154C"/>
    <w:rsid w:val="74C4530B"/>
    <w:rsid w:val="75304DEC"/>
    <w:rsid w:val="75956FFF"/>
    <w:rsid w:val="76447A29"/>
    <w:rsid w:val="76863550"/>
    <w:rsid w:val="768F2C52"/>
    <w:rsid w:val="76D32D64"/>
    <w:rsid w:val="77AA2D01"/>
    <w:rsid w:val="783E57E7"/>
    <w:rsid w:val="78896F8D"/>
    <w:rsid w:val="788E492D"/>
    <w:rsid w:val="78A656D0"/>
    <w:rsid w:val="78BF6DD9"/>
    <w:rsid w:val="7901225F"/>
    <w:rsid w:val="791B43CE"/>
    <w:rsid w:val="79634F49"/>
    <w:rsid w:val="798361FB"/>
    <w:rsid w:val="7A295707"/>
    <w:rsid w:val="7A324F2B"/>
    <w:rsid w:val="7AD07F6C"/>
    <w:rsid w:val="7B2260D9"/>
    <w:rsid w:val="7B5B5470"/>
    <w:rsid w:val="7B6127EC"/>
    <w:rsid w:val="7B696D40"/>
    <w:rsid w:val="7C104E98"/>
    <w:rsid w:val="7CDE1DBD"/>
    <w:rsid w:val="7D437C59"/>
    <w:rsid w:val="7D4E5996"/>
    <w:rsid w:val="7D943A85"/>
    <w:rsid w:val="7DB0448C"/>
    <w:rsid w:val="7DB25896"/>
    <w:rsid w:val="7E4E3D96"/>
    <w:rsid w:val="7E5F9AA4"/>
    <w:rsid w:val="7E876324"/>
    <w:rsid w:val="7EE6330E"/>
    <w:rsid w:val="7FE966B8"/>
    <w:rsid w:val="8FFC8888"/>
    <w:rsid w:val="A7F73C99"/>
    <w:rsid w:val="BFFE3BF4"/>
    <w:rsid w:val="DFEBDA37"/>
    <w:rsid w:val="EF6FCA1D"/>
    <w:rsid w:val="EFFF57D6"/>
    <w:rsid w:val="F1F37F6D"/>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8"/>
    <w:unhideWhenUsed/>
    <w:qFormat/>
    <w:uiPriority w:val="99"/>
    <w:pPr>
      <w:keepNext w:val="0"/>
      <w:keepLines w:val="0"/>
      <w:widowControl w:val="0"/>
      <w:suppressLineNumbers w:val="0"/>
      <w:tabs>
        <w:tab w:val="left" w:pos="3540"/>
      </w:tabs>
      <w:spacing w:before="0" w:beforeAutospacing="0" w:after="0" w:afterAutospacing="0" w:line="240" w:lineRule="auto"/>
      <w:ind w:left="0" w:right="0" w:firstLine="200" w:firstLineChars="200"/>
      <w:jc w:val="both"/>
    </w:pPr>
    <w:rPr>
      <w:rFonts w:ascii="仿宋_GB2312" w:hAnsi="宋体" w:eastAsia="仿宋_GB2312" w:cs="仿宋_GB2312"/>
      <w:kern w:val="2"/>
      <w:sz w:val="32"/>
      <w:szCs w:val="20"/>
      <w:lang w:val="en-US" w:eastAsia="zh-CN" w:bidi="ar"/>
    </w:rPr>
  </w:style>
  <w:style w:type="paragraph" w:styleId="3">
    <w:name w:val="Body Text Indent"/>
    <w:basedOn w:val="1"/>
    <w:next w:val="4"/>
    <w:unhideWhenUsed/>
    <w:qFormat/>
    <w:uiPriority w:val="99"/>
    <w:pPr>
      <w:spacing w:after="120" w:afterLines="0" w:afterAutospacing="0"/>
      <w:ind w:left="420" w:leftChars="200"/>
    </w:pPr>
  </w:style>
  <w:style w:type="paragraph" w:styleId="4">
    <w:name w:val="Body Text First Indent"/>
    <w:basedOn w:val="5"/>
    <w:next w:val="6"/>
    <w:qFormat/>
    <w:uiPriority w:val="0"/>
    <w:pPr>
      <w:ind w:firstLine="100" w:firstLineChars="100"/>
    </w:pPr>
    <w:rPr>
      <w:rFonts w:ascii="Times New Roman" w:hAnsi="Times New Roman" w:eastAsia="宋体" w:cs="Times New Roman"/>
    </w:rPr>
  </w:style>
  <w:style w:type="paragraph" w:styleId="5">
    <w:name w:val="Body Text"/>
    <w:basedOn w:val="1"/>
    <w:next w:val="1"/>
    <w:qFormat/>
    <w:uiPriority w:val="0"/>
    <w:pPr>
      <w:spacing w:after="120" w:afterAutospacing="0"/>
    </w:pPr>
    <w:rPr>
      <w:rFonts w:ascii="Times New Roman" w:hAnsi="Times New Roman" w:eastAsia="宋体" w:cs="Times New Roman"/>
    </w:rPr>
  </w:style>
  <w:style w:type="paragraph" w:styleId="6">
    <w:name w:val="Normal Indent"/>
    <w:basedOn w:val="1"/>
    <w:next w:val="7"/>
    <w:qFormat/>
    <w:uiPriority w:val="0"/>
    <w:pPr>
      <w:ind w:firstLine="420" w:firstLineChars="200"/>
    </w:pPr>
    <w:rPr>
      <w:rFonts w:ascii="Calibri" w:hAnsi="Calibri" w:eastAsia="仿宋"/>
      <w:sz w:val="32"/>
    </w:rPr>
  </w:style>
  <w:style w:type="paragraph" w:customStyle="1" w:styleId="7">
    <w:name w:val="正文内容格式"/>
    <w:basedOn w:val="1"/>
    <w:qFormat/>
    <w:uiPriority w:val="0"/>
    <w:pPr>
      <w:adjustRightInd w:val="0"/>
      <w:snapToGrid w:val="0"/>
      <w:spacing w:before="50" w:after="50"/>
      <w:textAlignment w:val="baseline"/>
    </w:pPr>
    <w:rPr>
      <w:rFonts w:ascii="宋体" w:hAnsi="宋体"/>
    </w:rPr>
  </w:style>
  <w:style w:type="paragraph" w:styleId="8">
    <w:name w:val="toc 3"/>
    <w:basedOn w:val="1"/>
    <w:next w:val="1"/>
    <w:unhideWhenUsed/>
    <w:qFormat/>
    <w:uiPriority w:val="39"/>
    <w:pPr>
      <w:keepNext w:val="0"/>
      <w:keepLines w:val="0"/>
      <w:widowControl w:val="0"/>
      <w:suppressLineNumbers w:val="0"/>
      <w:spacing w:before="0" w:beforeAutospacing="0" w:after="0" w:afterAutospacing="0" w:line="240" w:lineRule="auto"/>
      <w:ind w:left="840" w:leftChars="400" w:firstLine="0"/>
      <w:jc w:val="both"/>
    </w:pPr>
    <w:rPr>
      <w:rFonts w:ascii="Calibri" w:hAnsi="Calibri" w:eastAsia="宋体" w:cs="Calibri"/>
      <w:kern w:val="2"/>
      <w:sz w:val="21"/>
      <w:szCs w:val="24"/>
      <w:lang w:val="en-US" w:eastAsia="zh-CN" w:bidi="ar"/>
    </w:rPr>
  </w:style>
  <w:style w:type="paragraph" w:styleId="9">
    <w:name w:val="annotation text"/>
    <w:basedOn w:val="1"/>
    <w:link w:val="19"/>
    <w:qFormat/>
    <w:uiPriority w:val="0"/>
    <w:pPr>
      <w:jc w:val="left"/>
    </w:p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annotation subject"/>
    <w:basedOn w:val="9"/>
    <w:next w:val="9"/>
    <w:link w:val="22"/>
    <w:qFormat/>
    <w:uiPriority w:val="0"/>
    <w:rPr>
      <w:b/>
      <w:bCs/>
    </w:rPr>
  </w:style>
  <w:style w:type="character" w:styleId="17">
    <w:name w:val="page number"/>
    <w:qFormat/>
    <w:uiPriority w:val="0"/>
  </w:style>
  <w:style w:type="character" w:styleId="18">
    <w:name w:val="annotation reference"/>
    <w:qFormat/>
    <w:uiPriority w:val="0"/>
    <w:rPr>
      <w:sz w:val="21"/>
      <w:szCs w:val="21"/>
    </w:rPr>
  </w:style>
  <w:style w:type="character" w:customStyle="1" w:styleId="19">
    <w:name w:val="批注文字 Char"/>
    <w:link w:val="9"/>
    <w:qFormat/>
    <w:uiPriority w:val="0"/>
    <w:rPr>
      <w:kern w:val="2"/>
      <w:sz w:val="21"/>
      <w:szCs w:val="24"/>
    </w:rPr>
  </w:style>
  <w:style w:type="character" w:customStyle="1" w:styleId="20">
    <w:name w:val="批注框文本 Char"/>
    <w:link w:val="10"/>
    <w:qFormat/>
    <w:uiPriority w:val="0"/>
    <w:rPr>
      <w:kern w:val="2"/>
      <w:sz w:val="18"/>
      <w:szCs w:val="18"/>
    </w:rPr>
  </w:style>
  <w:style w:type="character" w:customStyle="1" w:styleId="21">
    <w:name w:val="页眉 Char"/>
    <w:link w:val="12"/>
    <w:qFormat/>
    <w:uiPriority w:val="0"/>
    <w:rPr>
      <w:kern w:val="2"/>
      <w:sz w:val="18"/>
      <w:szCs w:val="18"/>
    </w:rPr>
  </w:style>
  <w:style w:type="character" w:customStyle="1" w:styleId="22">
    <w:name w:val="批注主题 Char"/>
    <w:link w:val="14"/>
    <w:qFormat/>
    <w:uiPriority w:val="0"/>
    <w:rPr>
      <w:b/>
      <w:bCs/>
      <w:kern w:val="2"/>
      <w:sz w:val="21"/>
      <w:szCs w:val="24"/>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Chars="200"/>
    </w:pPr>
    <w:rPr>
      <w:rFonts w:ascii="Times New Roman" w:hAnsi="Times New Roman" w:eastAsia="宋体" w:cs="Times New Roman"/>
      <w:lang w:val="en-US" w:eastAsia="zh-CN" w:bidi="ar-SA"/>
    </w:rPr>
  </w:style>
  <w:style w:type="paragraph" w:customStyle="1" w:styleId="25">
    <w:name w:val="正文1 Char Char Char"/>
    <w:basedOn w:val="1"/>
    <w:qFormat/>
    <w:uiPriority w:val="0"/>
    <w:pPr>
      <w:spacing w:line="360" w:lineRule="auto"/>
      <w:ind w:firstLine="200" w:firstLineChars="200"/>
    </w:pPr>
  </w:style>
  <w:style w:type="paragraph" w:customStyle="1" w:styleId="26">
    <w:name w:val="无间隔1"/>
    <w:qFormat/>
    <w:uiPriority w:val="1"/>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3730</Words>
  <Characters>4251</Characters>
  <Lines>67</Lines>
  <Paragraphs>18</Paragraphs>
  <TotalTime>17</TotalTime>
  <ScaleCrop>false</ScaleCrop>
  <LinksUpToDate>false</LinksUpToDate>
  <CharactersWithSpaces>4293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2025-11-06T17:24:00Z</cp:lastPrinted>
  <dcterms:modified xsi:type="dcterms:W3CDTF">2025-11-07T15:48:56Z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eyJoZGlkIjoiMmM1NjEyOWI1ZDRkNTdhODlkYWRkYjM5ZTBlNzRmNjgiLCJ1c2VySWQiOiIxMTMwNDcwNzk4In0=</vt:lpwstr>
  </property>
</Properties>
</file>