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墨脱县电视台2024年度部门决算公开报告</w:t>
      </w:r>
    </w:p>
    <w:p>
      <w:pPr>
        <w:spacing w:line="578" w:lineRule="exact"/>
        <w:jc w:val="center"/>
        <w:rPr>
          <w:rFonts w:hint="eastAsia" w:ascii="黑体" w:hAnsi="ˎ̥" w:eastAsia="黑体"/>
          <w:b/>
          <w:sz w:val="32"/>
          <w:szCs w:val="32"/>
        </w:rPr>
      </w:pPr>
    </w:p>
    <w:p>
      <w:pPr>
        <w:pStyle w:val="2"/>
        <w:rPr>
          <w:rFonts w:hint="eastAsia"/>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8"/>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_Toc20274_WPSOffice_Level2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一、部门（单位）职责</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2</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_Toc4833_WPSOffice_Level2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二、机构设置</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2</w:t>
      </w:r>
    </w:p>
    <w:p>
      <w:pPr>
        <w:pStyle w:val="19"/>
        <w:tabs>
          <w:tab w:val="right" w:leader="dot" w:pos="8306"/>
        </w:tabs>
        <w:spacing w:line="578" w:lineRule="exact"/>
        <w:ind w:leftChars="0"/>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8"/>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_Toc21737_WPSOffice_Level2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一、收入支出总体情况说明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3</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二、收入决算情况说明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4</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三、支出决算情况说明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4</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四、财政拨款收入支出决算总体情况说明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4</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五、一般公共预算财政拨款支出决算情况说明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5</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六、一般公共预算财政拨款基本支出决算情况说明</w:t>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t>6</w:t>
      </w:r>
    </w:p>
    <w:p>
      <w:pPr>
        <w:pStyle w:val="19"/>
        <w:numPr>
          <w:ilvl w:val="0"/>
          <w:numId w:val="1"/>
        </w:numPr>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政府性基金预算财政拨款支出决算情况说明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t>7</w:t>
      </w:r>
    </w:p>
    <w:p>
      <w:pPr>
        <w:pStyle w:val="19"/>
        <w:numPr>
          <w:ilvl w:val="0"/>
          <w:numId w:val="1"/>
        </w:numPr>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国有资本经营预算财政拨款支出决算情况说明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t>8</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九、财政拨款“三公”经费支出决算情况说明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9</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fldChar w:fldCharType="begin"/>
      </w:r>
      <w:r>
        <w:rPr>
          <w:rFonts w:hint="eastAsia" w:ascii="仿宋" w:hAnsi="仿宋" w:eastAsia="仿宋" w:cs="仿宋"/>
          <w:kern w:val="2"/>
          <w:sz w:val="32"/>
          <w:szCs w:val="32"/>
          <w:highlight w:val="none"/>
          <w:lang w:val="en-US" w:eastAsia="zh-CN" w:bidi="ar-SA"/>
        </w:rPr>
        <w:instrText xml:space="preserve"> HYPERLINK \l _Toc19535_WPSOffice_Level2 </w:instrText>
      </w:r>
      <w:r>
        <w:rPr>
          <w:rFonts w:hint="eastAsia" w:ascii="仿宋" w:hAnsi="仿宋" w:eastAsia="仿宋" w:cs="仿宋"/>
          <w:kern w:val="2"/>
          <w:sz w:val="32"/>
          <w:szCs w:val="32"/>
          <w:highlight w:val="none"/>
          <w:lang w:val="en-US" w:eastAsia="zh-CN" w:bidi="ar-SA"/>
        </w:rPr>
        <w:fldChar w:fldCharType="separate"/>
      </w:r>
      <w:r>
        <w:rPr>
          <w:rFonts w:hint="eastAsia" w:ascii="仿宋" w:hAnsi="仿宋" w:eastAsia="仿宋" w:cs="仿宋"/>
          <w:kern w:val="2"/>
          <w:sz w:val="32"/>
          <w:szCs w:val="32"/>
          <w:highlight w:val="none"/>
          <w:lang w:val="en-US" w:eastAsia="zh-CN" w:bidi="ar-SA"/>
        </w:rPr>
        <w:t>十、预算绩效情况说明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fldChar w:fldCharType="end"/>
      </w:r>
      <w:r>
        <w:rPr>
          <w:rFonts w:hint="eastAsia" w:ascii="仿宋" w:hAnsi="仿宋" w:eastAsia="仿宋" w:cs="仿宋"/>
          <w:kern w:val="2"/>
          <w:sz w:val="32"/>
          <w:szCs w:val="32"/>
          <w:highlight w:val="none"/>
          <w:lang w:val="en-US" w:eastAsia="zh-CN" w:bidi="ar-SA"/>
        </w:rPr>
        <w:t>11</w:t>
      </w:r>
    </w:p>
    <w:p>
      <w:pPr>
        <w:pStyle w:val="19"/>
        <w:tabs>
          <w:tab w:val="right" w:leader="dot" w:pos="8306"/>
        </w:tabs>
        <w:spacing w:line="578" w:lineRule="exact"/>
        <w:ind w:leftChars="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十一、其他重要事项情况说明</w:t>
      </w:r>
      <w:r>
        <w:rPr>
          <w:rFonts w:hint="eastAsia" w:ascii="仿宋" w:hAnsi="仿宋" w:eastAsia="仿宋" w:cs="仿宋"/>
          <w:kern w:val="2"/>
          <w:sz w:val="32"/>
          <w:szCs w:val="32"/>
          <w:highlight w:val="none"/>
          <w:lang w:val="en-US" w:eastAsia="zh-CN" w:bidi="ar-SA"/>
        </w:rPr>
        <w:tab/>
      </w:r>
      <w:r>
        <w:rPr>
          <w:rFonts w:hint="eastAsia" w:ascii="仿宋" w:hAnsi="仿宋" w:eastAsia="仿宋" w:cs="仿宋"/>
          <w:kern w:val="2"/>
          <w:sz w:val="32"/>
          <w:szCs w:val="32"/>
          <w:highlight w:val="none"/>
          <w:lang w:val="en-US" w:eastAsia="zh-CN" w:bidi="ar-SA"/>
        </w:rPr>
        <w:t>13</w:t>
      </w:r>
    </w:p>
    <w:p>
      <w:pPr>
        <w:pStyle w:val="18"/>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1704_WPSOffice_Level1"/>
      <w:bookmarkStart w:id="4" w:name="_Toc32433_WPSOffice_Level1"/>
      <w:bookmarkStart w:id="5" w:name="_Toc22941_WPSOffice_Level1"/>
      <w:bookmarkStart w:id="6" w:name="_Toc23465_WPSOffice_Level1"/>
      <w:bookmarkStart w:id="7" w:name="_Toc10049_WPSOffice_Level1"/>
      <w:bookmarkStart w:id="8" w:name="_Toc26580_WPSOffice_Level2"/>
      <w:bookmarkStart w:id="9" w:name="_Toc24238_WPSOffice_Level2"/>
      <w:bookmarkStart w:id="10" w:name="_Toc20274_WPSOffice_Level2"/>
      <w:bookmarkStart w:id="11" w:name="_Toc14159_WPSOffice_Level2"/>
      <w:bookmarkStart w:id="12" w:name="_Toc32622_WPSOffice_Level2"/>
      <w:bookmarkStart w:id="13" w:name="_Toc20205_WPSOffice_Level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楷体" w:hAnsi="楷体" w:eastAsia="楷体" w:cs="楷体"/>
          <w:sz w:val="32"/>
          <w:szCs w:val="32"/>
        </w:rPr>
      </w:pPr>
    </w:p>
    <w:bookmarkEnd w:id="8"/>
    <w:bookmarkEnd w:id="9"/>
    <w:bookmarkEnd w:id="10"/>
    <w:bookmarkEnd w:id="11"/>
    <w:bookmarkEnd w:id="12"/>
    <w:bookmarkEnd w:id="13"/>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部门（单位）职责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1.新闻宣传：及时准确发布时政要闻、民生资讯、突发事件等各类新闻，通过图文、视频、直播等多种形式，全方位、多角度报道本地动态，引导正确方向。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2.公共服务：聚焦教育、医疗、就业、交通等民生领域，提供实用信息，满足民众生活需求。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3.文化传播：挖掘、传承和弘扬本地特色文化，展示风土人情、历史遗迹、民俗活动等，创作优质文化作品，丰富群众精神文化生活，增强县域文化凝聚力。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4.互动交流：开设互动渠道，收集民众意见建议，为政府决策提供参考，促进县域治理水平提升。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5.完成县委、县政府交办的其他任务。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二、机构设置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1.机构情况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墨脱县融媒体中心（以下简称本中心）为事业单位，2024年底实有在岗人员11人，正科级领导1名，副科级领导1名，专业技术人员5名，机关工人4名，外聘人员4名，临时工3名。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融媒体中心通过优化采编播流程，构建起“一次采集、多元生成、全媒传播”的一体化融媒体传播体系。中心设有编辑室、演播厅、新媒体中心运营、节目制作部、技术保障部、综合办公室等，各部门分工明确又协同合作，共同保障融媒体中心各项工作有序开展。从其他单位调入1名有丰富宣传工作经验的专业对口的记者，分配至新闻采编和节目制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2.人员情况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（1）人员基本情况：截止2024年12月份年底，本中心共有编制7名、机关和事业工人4名，实有在职人员11名。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人员变动情况：人员增加中，增加了1名专业技术人员、1名机关和事业工人，分别充实到值班人员和记者等岗位;人员减少：2024年12月底，因人员调动变化，减少1名事业管理人员。现本中心人员为：7名专业技术人员（其中：事业管理人员2名）、4名机关和事业工人，共计11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当年取得的主要事业成效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新闻宣传全面深入：围绕全县重大活动、重点项目、民生实事等，涵盖专题报道、系列报道等多种形式。时政新闻及时准确传递政府声音，社会民生报道聚焦百姓关切，文化旅游报道助理地方特色文化传播。通过多渠道传播，有效提升县域信息知晓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媒体融合稳步发展推进：打通媒体传播矩阵，实现内容一次采集、多元生成、多媒传播。制作播出《墨脱新闻》124期479条，抖音发布作品1100条，短视频发布1351条，融媒体APP共发布1521条，文章1234篇，视频287条;抖音粉丝突破2.4万，微信视频号粉丝从4000＋增长到1.7万＋，本年度直播场次达50场，观看人数达85万余人次，增强了传播效果和互动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p>
    <w:p>
      <w:pPr>
        <w:spacing w:line="578" w:lineRule="exact"/>
        <w:jc w:val="center"/>
        <w:rPr>
          <w:rFonts w:hint="eastAsia" w:ascii="黑体" w:hAnsi="ˎ̥" w:eastAsia="黑体"/>
          <w:sz w:val="32"/>
          <w:szCs w:val="32"/>
        </w:rPr>
      </w:pPr>
      <w:bookmarkStart w:id="14" w:name="_Toc8164_WPSOffice_Level1"/>
      <w:bookmarkStart w:id="15" w:name="_Toc30451_WPSOffice_Level1"/>
      <w:bookmarkStart w:id="16" w:name="_Toc15521_WPSOffice_Level1"/>
      <w:bookmarkStart w:id="17" w:name="_Toc28253_WPSOffice_Level1"/>
      <w:bookmarkStart w:id="18" w:name="_Toc6234_WPSOffice_Level1"/>
      <w:bookmarkStart w:id="19" w:name="_Toc30690_WPSOffice_Level1"/>
      <w:bookmarkStart w:id="20" w:name="_Toc4029_WPSOffice_Level2"/>
      <w:bookmarkStart w:id="21" w:name="_Toc8867_WPSOffice_Level2"/>
      <w:bookmarkStart w:id="22" w:name="_Toc32695_WPSOffice_Level2"/>
      <w:bookmarkStart w:id="23" w:name="_Toc11518_WPSOffice_Level2"/>
      <w:bookmarkStart w:id="24" w:name="_Toc6211_WPSOffice_Level2"/>
      <w:bookmarkStart w:id="25" w:name="_Toc32472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bookmarkEnd w:id="14"/>
    <w:bookmarkEnd w:id="15"/>
    <w:bookmarkEnd w:id="16"/>
    <w:bookmarkEnd w:id="17"/>
    <w:bookmarkEnd w:id="18"/>
    <w:bookmarkEnd w:id="19"/>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578" w:lineRule="exact"/>
        <w:jc w:val="center"/>
        <w:outlineLvl w:val="0"/>
        <w:rPr>
          <w:rFonts w:hint="eastAsia" w:ascii="黑体" w:hAnsi="ˎ̥" w:eastAsia="黑体"/>
          <w:color w:val="auto"/>
          <w:sz w:val="32"/>
          <w:szCs w:val="32"/>
        </w:rPr>
      </w:pPr>
      <w:r>
        <w:rPr>
          <w:rFonts w:hint="eastAsia" w:ascii="黑体" w:hAnsi="ˎ̥" w:eastAsia="黑体"/>
          <w:color w:val="auto"/>
          <w:sz w:val="32"/>
          <w:szCs w:val="32"/>
        </w:rPr>
        <w:t xml:space="preserve"> </w:t>
      </w:r>
      <w:bookmarkStart w:id="26" w:name="_Toc8655"/>
      <w:r>
        <w:rPr>
          <w:rFonts w:hint="eastAsia" w:ascii="黑体" w:hAnsi="ˎ̥" w:eastAsia="黑体"/>
          <w:color w:val="auto"/>
          <w:sz w:val="32"/>
          <w:szCs w:val="32"/>
          <w:lang w:eastAsia="zh-CN"/>
        </w:rPr>
        <w:t>2024年</w:t>
      </w:r>
      <w:r>
        <w:rPr>
          <w:rFonts w:hint="eastAsia" w:ascii="黑体" w:hAnsi="ˎ̥" w:eastAsia="黑体"/>
          <w:color w:val="auto"/>
          <w:sz w:val="32"/>
          <w:szCs w:val="32"/>
        </w:rPr>
        <w:t>度部门决算公开报表</w:t>
      </w:r>
      <w:bookmarkEnd w:id="26"/>
    </w:p>
    <w:p>
      <w:pPr>
        <w:spacing w:line="578" w:lineRule="exact"/>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0"/>
      <w:bookmarkEnd w:id="21"/>
      <w:bookmarkEnd w:id="22"/>
      <w:bookmarkEnd w:id="23"/>
      <w:bookmarkEnd w:id="24"/>
      <w:bookmarkEnd w:id="25"/>
    </w:p>
    <w:p>
      <w:pPr>
        <w:spacing w:line="578" w:lineRule="exact"/>
        <w:ind w:firstLine="645"/>
        <w:rPr>
          <w:rFonts w:hint="eastAsia" w:ascii="黑体" w:hAnsi="黑体" w:eastAsia="黑体" w:cs="黑体"/>
          <w:sz w:val="32"/>
          <w:szCs w:val="32"/>
        </w:rPr>
      </w:pPr>
      <w:bookmarkStart w:id="27" w:name="_Toc28622_WPSOffice_Level2"/>
      <w:bookmarkStart w:id="28" w:name="_Toc30334_WPSOffice_Level2"/>
      <w:bookmarkStart w:id="29" w:name="_Toc25608_WPSOffice_Level2"/>
      <w:bookmarkStart w:id="30" w:name="_Toc23139_WPSOffice_Level2"/>
      <w:bookmarkStart w:id="31" w:name="_Toc14349_WPSOffice_Level2"/>
      <w:bookmarkStart w:id="32" w:name="_Toc26621_WPSOffice_Level2"/>
      <w:r>
        <w:rPr>
          <w:rFonts w:hint="eastAsia" w:ascii="黑体" w:hAnsi="黑体" w:eastAsia="黑体" w:cs="黑体"/>
          <w:sz w:val="32"/>
          <w:szCs w:val="32"/>
        </w:rPr>
        <w:t>二、收入决算公开表</w:t>
      </w:r>
      <w:bookmarkEnd w:id="27"/>
      <w:bookmarkEnd w:id="28"/>
      <w:bookmarkEnd w:id="29"/>
      <w:bookmarkEnd w:id="30"/>
      <w:bookmarkEnd w:id="31"/>
      <w:bookmarkEnd w:id="32"/>
      <w:bookmarkStart w:id="33" w:name="_Toc14658_WPSOffice_Level2"/>
      <w:bookmarkStart w:id="34" w:name="_Toc3262_WPSOffice_Level2"/>
      <w:bookmarkStart w:id="35" w:name="_Toc5489_WPSOffice_Level2"/>
      <w:bookmarkStart w:id="36" w:name="_Toc17858_WPSOffice_Level2"/>
      <w:bookmarkStart w:id="37" w:name="_Toc17626_WPSOffice_Level2"/>
      <w:bookmarkStart w:id="38"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3"/>
      <w:bookmarkEnd w:id="34"/>
      <w:bookmarkEnd w:id="35"/>
      <w:bookmarkEnd w:id="36"/>
      <w:bookmarkEnd w:id="37"/>
      <w:bookmarkEnd w:id="38"/>
      <w:bookmarkStart w:id="39" w:name="_Toc21415_WPSOffice_Level2"/>
      <w:bookmarkStart w:id="40" w:name="_Toc4265_WPSOffice_Level2"/>
      <w:bookmarkStart w:id="41" w:name="_Toc23493_WPSOffice_Level2"/>
      <w:bookmarkStart w:id="42" w:name="_Toc23591_WPSOffice_Level2"/>
      <w:bookmarkStart w:id="43" w:name="_Toc13701_WPSOffice_Level2"/>
      <w:bookmarkStart w:id="44"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39"/>
      <w:bookmarkEnd w:id="40"/>
      <w:bookmarkEnd w:id="41"/>
      <w:bookmarkEnd w:id="42"/>
      <w:bookmarkEnd w:id="43"/>
      <w:bookmarkEnd w:id="44"/>
    </w:p>
    <w:p>
      <w:pPr>
        <w:spacing w:line="578" w:lineRule="exact"/>
        <w:ind w:firstLine="645"/>
        <w:rPr>
          <w:rFonts w:hint="eastAsia" w:ascii="黑体" w:hAnsi="黑体" w:eastAsia="黑体" w:cs="黑体"/>
          <w:sz w:val="32"/>
          <w:szCs w:val="32"/>
        </w:rPr>
      </w:pPr>
      <w:bookmarkStart w:id="45" w:name="_Toc25166_WPSOffice_Level2"/>
      <w:bookmarkStart w:id="46" w:name="_Toc7879_WPSOffice_Level2"/>
      <w:bookmarkStart w:id="47" w:name="_Toc22783_WPSOffice_Level2"/>
      <w:bookmarkStart w:id="48" w:name="_Toc23829_WPSOffice_Level2"/>
      <w:bookmarkStart w:id="49" w:name="_Toc13516_WPSOffice_Level2"/>
      <w:bookmarkStart w:id="50" w:name="_Toc2158_WPSOffice_Level2"/>
      <w:r>
        <w:rPr>
          <w:rFonts w:hint="eastAsia" w:ascii="黑体" w:hAnsi="黑体" w:eastAsia="黑体" w:cs="黑体"/>
          <w:sz w:val="32"/>
          <w:szCs w:val="32"/>
        </w:rPr>
        <w:t>五、一般公共预算财政拨款收入支出决算</w:t>
      </w:r>
      <w:bookmarkEnd w:id="45"/>
      <w:bookmarkEnd w:id="46"/>
      <w:bookmarkEnd w:id="47"/>
      <w:bookmarkEnd w:id="48"/>
      <w:r>
        <w:rPr>
          <w:rFonts w:hint="eastAsia" w:ascii="黑体" w:hAnsi="黑体" w:eastAsia="黑体" w:cs="黑体"/>
          <w:sz w:val="32"/>
          <w:szCs w:val="32"/>
        </w:rPr>
        <w:t>公开表</w:t>
      </w:r>
      <w:bookmarkEnd w:id="49"/>
      <w:bookmarkEnd w:id="50"/>
      <w:bookmarkStart w:id="51" w:name="_Toc5343_WPSOffice_Level2"/>
      <w:bookmarkStart w:id="52" w:name="_Toc17283_WPSOffice_Level2"/>
      <w:bookmarkStart w:id="53" w:name="_Toc17833_WPSOffice_Level2"/>
      <w:bookmarkStart w:id="54" w:name="_Toc25362_WPSOffice_Level2"/>
      <w:bookmarkStart w:id="55" w:name="_Toc8373_WPSOffice_Level2"/>
      <w:bookmarkStart w:id="56" w:name="_Toc263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1"/>
      <w:bookmarkEnd w:id="52"/>
      <w:bookmarkEnd w:id="53"/>
      <w:bookmarkEnd w:id="54"/>
      <w:bookmarkEnd w:id="55"/>
      <w:bookmarkEnd w:id="5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57" w:name="_Toc6020_WPSOffice_Level2"/>
      <w:bookmarkStart w:id="58" w:name="_Toc1533_WPSOffice_Level2"/>
      <w:bookmarkStart w:id="59" w:name="_Toc11799_WPSOffice_Level2"/>
      <w:bookmarkStart w:id="60" w:name="_Toc5594_WPSOffice_Level2"/>
      <w:bookmarkStart w:id="61" w:name="_Toc13345_WPSOffice_Level2"/>
      <w:bookmarkStart w:id="62" w:name="_Toc21310_WPSOffice_Level2"/>
      <w:r>
        <w:rPr>
          <w:rFonts w:hint="eastAsia" w:ascii="黑体" w:hAnsi="黑体" w:eastAsia="黑体" w:cs="黑体"/>
          <w:sz w:val="32"/>
          <w:szCs w:val="32"/>
        </w:rPr>
        <w:t>七、政府性基金预算财政拨款收入支出决算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3" w:name="_Toc29886_WPSOffice_Level2"/>
      <w:bookmarkStart w:id="64" w:name="_Toc1820_WPSOffice_Level2"/>
      <w:bookmarkStart w:id="65" w:name="_Toc9377_WPSOffice_Level2"/>
      <w:bookmarkStart w:id="66" w:name="_Toc19961_WPSOffice_Level2"/>
      <w:r>
        <w:rPr>
          <w:rFonts w:hint="eastAsia" w:ascii="黑体" w:hAnsi="黑体" w:eastAsia="黑体" w:cs="黑体"/>
          <w:sz w:val="32"/>
          <w:szCs w:val="32"/>
        </w:rPr>
        <w:t>九、财政拨款“三公”经费支出决算</w:t>
      </w:r>
      <w:bookmarkEnd w:id="63"/>
      <w:bookmarkEnd w:id="64"/>
      <w:bookmarkEnd w:id="65"/>
      <w:bookmarkEnd w:id="66"/>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67" w:name="_Toc29683_WPSOffice_Level1"/>
      <w:bookmarkStart w:id="68" w:name="_Toc31264_WPSOffice_Level1"/>
      <w:bookmarkStart w:id="69" w:name="_Toc27590_WPSOffice_Level1"/>
      <w:bookmarkStart w:id="70" w:name="_Toc28629_WPSOffice_Level1"/>
      <w:bookmarkStart w:id="71" w:name="_Toc16686_WPSOffice_Level1"/>
      <w:bookmarkStart w:id="72" w:name="_Toc4402_WPSOffice_Level1"/>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67"/>
      <w:bookmarkEnd w:id="68"/>
      <w:bookmarkEnd w:id="69"/>
      <w:bookmarkEnd w:id="70"/>
      <w:bookmarkEnd w:id="71"/>
      <w:bookmarkEnd w:id="72"/>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仿宋_GB2312" w:eastAsia="仿宋_GB2312" w:cs="仿宋_GB2312"/>
          <w:kern w:val="2"/>
          <w:sz w:val="32"/>
          <w:szCs w:val="32"/>
          <w:highlight w:val="none"/>
          <w:lang w:val="en-US" w:eastAsia="zh-CN" w:bidi="ar-SA"/>
        </w:rPr>
        <w:t xml:space="preserve"> 2024年度收入总计545.24万元，支出总计545.24万元，与2023年度相比，收入、支出总计减少42.82万元，下降7.28%。主要原因广播电视支出减少。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本年收入</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万元。使用非财政拨款结余</w:t>
      </w:r>
      <w:r>
        <w:rPr>
          <w:rFonts w:hint="default" w:ascii="仿宋_GB2312" w:hAnsi="仿宋_GB2312" w:eastAsia="仿宋_GB2312" w:cs="仿宋_GB2312"/>
          <w:kern w:val="2"/>
          <w:sz w:val="32"/>
          <w:szCs w:val="32"/>
          <w:highlight w:val="none"/>
          <w:lang w:val="en-US" w:eastAsia="zh-CN" w:bidi="ar-SA"/>
        </w:rPr>
        <w:t>0.00</w:t>
      </w:r>
      <w:r>
        <w:rPr>
          <w:rFonts w:hint="eastAsia" w:ascii="仿宋_GB2312" w:hAnsi="仿宋_GB2312" w:eastAsia="仿宋_GB2312" w:cs="仿宋_GB2312"/>
          <w:kern w:val="2"/>
          <w:sz w:val="32"/>
          <w:szCs w:val="32"/>
          <w:highlight w:val="none"/>
          <w:lang w:val="en-US" w:eastAsia="zh-CN" w:bidi="ar-SA"/>
        </w:rPr>
        <w:t>万元，年初结转结余</w:t>
      </w:r>
      <w:r>
        <w:rPr>
          <w:rFonts w:hint="default" w:ascii="仿宋_GB2312" w:hAnsi="仿宋_GB2312" w:eastAsia="仿宋_GB2312" w:cs="仿宋_GB2312"/>
          <w:kern w:val="2"/>
          <w:sz w:val="32"/>
          <w:szCs w:val="32"/>
          <w:highlight w:val="none"/>
          <w:lang w:val="en-US" w:eastAsia="zh-CN" w:bidi="ar-SA"/>
        </w:rPr>
        <w:t>0.00</w:t>
      </w:r>
      <w:r>
        <w:rPr>
          <w:rFonts w:hint="eastAsia" w:ascii="仿宋_GB2312" w:hAnsi="仿宋_GB2312" w:eastAsia="仿宋_GB2312" w:cs="仿宋_GB2312"/>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本年支出</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万元。其中：基本支出333.13万元，占61.1%；项目支出212.11万元，占38.9%。</w:t>
      </w:r>
    </w:p>
    <w:p>
      <w:pPr>
        <w:spacing w:line="578" w:lineRule="exact"/>
        <w:ind w:firstLine="640" w:firstLineChars="200"/>
        <w:outlineLvl w:val="0"/>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 w:hAnsi="仿宋" w:eastAsia="仿宋" w:cs="仿宋"/>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本年收入</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万元，全部为财政拨款收入</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spacing w:line="578" w:lineRule="exact"/>
        <w:ind w:firstLine="640" w:firstLineChars="200"/>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本年支出</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万元。其中：基本支出333.13万元，占61.1%；项目支出212.11万元，占38.9%。</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spacing w:line="578" w:lineRule="exact"/>
        <w:ind w:firstLine="640" w:firstLineChars="200"/>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2024年度财政拨款收入</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万元，支出</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万元。与2023年度相比，财政拨款收入减少42.82万元，下降7.28%。支出减少42.82万元，下降7.28%。</w:t>
      </w:r>
    </w:p>
    <w:p>
      <w:pPr>
        <w:spacing w:line="578" w:lineRule="exact"/>
        <w:ind w:firstLine="640" w:firstLineChars="200"/>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财政拨款年初结转结余0.0万元。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3" w:name="_Toc17398_WPSOffice_Level2"/>
      <w:bookmarkStart w:id="74" w:name="_Toc19665_WPSOffice_Level2"/>
      <w:bookmarkStart w:id="75" w:name="_Toc13694_WPSOffice_Level2"/>
      <w:bookmarkStart w:id="76" w:name="_Toc21737_WPSOffice_Level2"/>
      <w:bookmarkStart w:id="77" w:name="_Toc23005_WPSOffice_Level2"/>
      <w:bookmarkStart w:id="78" w:name="_Toc9989_WPSOffice_Level2"/>
      <w:r>
        <w:rPr>
          <w:rFonts w:hint="eastAsia" w:ascii="楷体" w:hAnsi="楷体" w:eastAsia="楷体" w:cs="楷体"/>
          <w:sz w:val="32"/>
          <w:szCs w:val="32"/>
        </w:rPr>
        <w:t>（一）一般公共预算财政拨款支出决算总体情况</w:t>
      </w:r>
      <w:bookmarkEnd w:id="73"/>
      <w:bookmarkEnd w:id="74"/>
      <w:bookmarkEnd w:id="75"/>
      <w:bookmarkEnd w:id="76"/>
      <w:bookmarkEnd w:id="77"/>
      <w:bookmarkEnd w:id="78"/>
    </w:p>
    <w:p>
      <w:pPr>
        <w:spacing w:line="578" w:lineRule="exact"/>
        <w:ind w:firstLine="640" w:firstLineChars="200"/>
        <w:outlineLvl w:val="0"/>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2024</w:t>
      </w:r>
      <w:r>
        <w:rPr>
          <w:rFonts w:hint="eastAsia" w:ascii="仿宋_GB2312" w:hAnsi="仿宋_GB2312" w:eastAsia="仿宋_GB2312" w:cs="仿宋_GB2312"/>
          <w:kern w:val="2"/>
          <w:sz w:val="32"/>
          <w:szCs w:val="32"/>
          <w:highlight w:val="none"/>
          <w:lang w:val="en-US" w:eastAsia="zh-CN" w:bidi="ar-SA"/>
        </w:rPr>
        <w:t>年度一般公共预算财政拨款支出</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万元，占本年支出合计的100%。与</w:t>
      </w:r>
      <w:r>
        <w:rPr>
          <w:rFonts w:hint="default" w:ascii="仿宋_GB2312" w:hAnsi="仿宋_GB2312" w:eastAsia="仿宋_GB2312" w:cs="仿宋_GB2312"/>
          <w:kern w:val="2"/>
          <w:sz w:val="32"/>
          <w:szCs w:val="32"/>
          <w:highlight w:val="none"/>
          <w:lang w:val="en-US" w:eastAsia="zh-CN" w:bidi="ar-SA"/>
        </w:rPr>
        <w:t>2023</w:t>
      </w:r>
      <w:r>
        <w:rPr>
          <w:rFonts w:hint="eastAsia" w:ascii="仿宋_GB2312" w:hAnsi="仿宋_GB2312" w:eastAsia="仿宋_GB2312" w:cs="仿宋_GB2312"/>
          <w:kern w:val="2"/>
          <w:sz w:val="32"/>
          <w:szCs w:val="32"/>
          <w:highlight w:val="none"/>
          <w:lang w:val="en-US" w:eastAsia="zh-CN" w:bidi="ar-SA"/>
        </w:rPr>
        <w:t>年度相比，一般公共预算财政拨款支出减少42.82万元，下降7.28%，主要原因是广播电视支出减少。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23864_WPSOffice_Level2"/>
      <w:bookmarkStart w:id="80" w:name="_Toc19075_WPSOffice_Level2"/>
      <w:bookmarkStart w:id="81" w:name="_Toc2711_WPSOffice_Level2"/>
      <w:bookmarkStart w:id="82" w:name="_Toc19535_WPSOffice_Level2"/>
      <w:bookmarkStart w:id="83" w:name="_Toc18793_WPSOffice_Level2"/>
      <w:bookmarkStart w:id="84" w:name="_Toc27767_WPSOffice_Level2"/>
      <w:r>
        <w:rPr>
          <w:rFonts w:hint="eastAsia" w:ascii="楷体" w:hAnsi="楷体" w:eastAsia="楷体" w:cs="楷体"/>
          <w:color w:val="auto"/>
          <w:sz w:val="32"/>
          <w:szCs w:val="32"/>
        </w:rPr>
        <w:t>（二）一般公共预算财政拨款支出决算结构情况</w:t>
      </w:r>
      <w:bookmarkEnd w:id="79"/>
      <w:bookmarkEnd w:id="80"/>
      <w:bookmarkEnd w:id="81"/>
      <w:bookmarkEnd w:id="82"/>
      <w:bookmarkEnd w:id="83"/>
      <w:bookmarkEnd w:id="84"/>
    </w:p>
    <w:p>
      <w:pPr>
        <w:spacing w:line="578" w:lineRule="exact"/>
        <w:ind w:firstLine="640" w:firstLineChars="200"/>
        <w:outlineLvl w:val="0"/>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2024</w:t>
      </w:r>
      <w:r>
        <w:rPr>
          <w:rFonts w:hint="eastAsia" w:ascii="仿宋_GB2312" w:hAnsi="仿宋_GB2312" w:eastAsia="仿宋_GB2312" w:cs="仿宋_GB2312"/>
          <w:kern w:val="2"/>
          <w:sz w:val="32"/>
          <w:szCs w:val="32"/>
          <w:highlight w:val="none"/>
          <w:lang w:val="en-US" w:eastAsia="zh-CN" w:bidi="ar-SA"/>
        </w:rPr>
        <w:t>年度一般公共预算财政拨款支出</w:t>
      </w:r>
      <w:r>
        <w:rPr>
          <w:rFonts w:hint="default" w:ascii="仿宋_GB2312" w:hAnsi="仿宋_GB2312" w:eastAsia="仿宋_GB2312" w:cs="仿宋_GB2312"/>
          <w:kern w:val="2"/>
          <w:sz w:val="32"/>
          <w:szCs w:val="32"/>
          <w:highlight w:val="none"/>
          <w:lang w:val="en-US" w:eastAsia="zh-CN" w:bidi="ar-SA"/>
        </w:rPr>
        <w:t>545.24</w:t>
      </w:r>
      <w:r>
        <w:rPr>
          <w:rFonts w:hint="eastAsia" w:ascii="仿宋_GB2312" w:hAnsi="仿宋_GB2312" w:eastAsia="仿宋_GB2312" w:cs="仿宋_GB2312"/>
          <w:kern w:val="2"/>
          <w:sz w:val="32"/>
          <w:szCs w:val="32"/>
          <w:highlight w:val="none"/>
          <w:lang w:val="en-US" w:eastAsia="zh-CN" w:bidi="ar-SA"/>
        </w:rPr>
        <w:t>万元，主要用于以下方面：</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文化旅游体育与传媒</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广播电视</w:t>
      </w:r>
      <w:r>
        <w:rPr>
          <w:rFonts w:hint="eastAsia" w:ascii="仿宋_GB2312" w:hAnsi="ˎ̥" w:eastAsia="仿宋_GB2312"/>
          <w:b/>
          <w:bCs/>
          <w:color w:val="auto"/>
          <w:sz w:val="32"/>
          <w:szCs w:val="32"/>
        </w:rPr>
        <w:t>(款)行政运行(项)</w:t>
      </w:r>
      <w:r>
        <w:rPr>
          <w:rFonts w:hint="eastAsia" w:ascii="仿宋_GB2312" w:hAnsi="仿宋_GB2312" w:eastAsia="仿宋_GB2312" w:cs="仿宋_GB2312"/>
          <w:kern w:val="2"/>
          <w:sz w:val="32"/>
          <w:szCs w:val="32"/>
          <w:highlight w:val="none"/>
          <w:lang w:val="en-US" w:eastAsia="zh-CN" w:bidi="ar-SA"/>
        </w:rPr>
        <w:t>支出275.91万元，占总支出的50.60%;</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文化旅游体育与传媒</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广播电视</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广播电视事务</w:t>
      </w:r>
      <w:r>
        <w:rPr>
          <w:rFonts w:hint="eastAsia" w:ascii="仿宋_GB2312" w:hAnsi="ˎ̥" w:eastAsia="仿宋_GB2312"/>
          <w:b/>
          <w:bCs/>
          <w:color w:val="auto"/>
          <w:sz w:val="32"/>
          <w:szCs w:val="32"/>
        </w:rPr>
        <w:t>(项)</w:t>
      </w:r>
      <w:r>
        <w:rPr>
          <w:rFonts w:hint="eastAsia" w:ascii="仿宋" w:hAnsi="仿宋" w:eastAsia="仿宋" w:cs="仿宋"/>
          <w:kern w:val="2"/>
          <w:sz w:val="32"/>
          <w:szCs w:val="32"/>
          <w:highlight w:val="none"/>
          <w:lang w:val="en-US" w:eastAsia="zh-CN" w:bidi="ar-SA"/>
        </w:rPr>
        <w:t>支出12.79万元，占总支出的8.53%;</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文化旅游体育与传媒</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广播电视</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其他广播电视</w:t>
      </w:r>
      <w:r>
        <w:rPr>
          <w:rFonts w:hint="eastAsia" w:ascii="仿宋_GB2312" w:hAnsi="ˎ̥" w:eastAsia="仿宋_GB2312"/>
          <w:b/>
          <w:bCs/>
          <w:color w:val="auto"/>
          <w:sz w:val="32"/>
          <w:szCs w:val="32"/>
        </w:rPr>
        <w:t>(项)</w:t>
      </w:r>
      <w:r>
        <w:rPr>
          <w:rFonts w:hint="eastAsia" w:ascii="仿宋_GB2312" w:hAnsi="仿宋_GB2312" w:eastAsia="仿宋_GB2312" w:cs="仿宋_GB2312"/>
          <w:kern w:val="2"/>
          <w:sz w:val="32"/>
          <w:szCs w:val="32"/>
          <w:highlight w:val="none"/>
          <w:lang w:val="en-US" w:eastAsia="zh-CN" w:bidi="ar-SA"/>
        </w:rPr>
        <w:t>支出163.80万元，占总支出的30.04%;</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社会保障和就业</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行政事业单位养老</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机关事业单位基本养老保险缴费</w:t>
      </w:r>
      <w:r>
        <w:rPr>
          <w:rFonts w:hint="eastAsia" w:ascii="仿宋_GB2312" w:hAnsi="ˎ̥" w:eastAsia="仿宋_GB2312"/>
          <w:b/>
          <w:bCs/>
          <w:color w:val="auto"/>
          <w:sz w:val="32"/>
          <w:szCs w:val="32"/>
        </w:rPr>
        <w:t>(项)</w:t>
      </w:r>
      <w:r>
        <w:rPr>
          <w:rFonts w:hint="eastAsia" w:ascii="仿宋_GB2312" w:hAnsi="仿宋_GB2312" w:eastAsia="仿宋_GB2312" w:cs="仿宋_GB2312"/>
          <w:kern w:val="2"/>
          <w:sz w:val="32"/>
          <w:szCs w:val="32"/>
          <w:highlight w:val="none"/>
          <w:lang w:val="en-US" w:eastAsia="zh-CN" w:bidi="ar-SA"/>
        </w:rPr>
        <w:t>支出33.78万元，占总支出的6.20%;</w:t>
      </w:r>
    </w:p>
    <w:p>
      <w:pPr>
        <w:spacing w:line="360" w:lineRule="auto"/>
        <w:ind w:firstLine="642" w:firstLineChars="200"/>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b/>
          <w:bCs/>
          <w:color w:val="000000" w:themeColor="text1"/>
          <w:sz w:val="32"/>
          <w:szCs w:val="32"/>
          <w:lang w:val="en-US" w:eastAsia="zh-CN"/>
          <w14:textFill>
            <w14:solidFill>
              <w14:schemeClr w14:val="tx1"/>
            </w14:solidFill>
          </w14:textFill>
        </w:rPr>
        <w:t>卫生健康支出(类)行政事业单位医疗(款)事业单位医疗(项)</w:t>
      </w:r>
      <w:r>
        <w:rPr>
          <w:rFonts w:hint="eastAsia" w:ascii="仿宋_GB2312" w:hAnsi="ˎ̥" w:eastAsia="仿宋_GB2312"/>
          <w:color w:val="000000" w:themeColor="text1"/>
          <w:sz w:val="32"/>
          <w:szCs w:val="32"/>
          <w:lang w:val="en-US" w:eastAsia="zh-CN"/>
          <w14:textFill>
            <w14:solidFill>
              <w14:schemeClr w14:val="tx1"/>
            </w14:solidFill>
          </w14:textFill>
        </w:rPr>
        <w:t>支出16.26万元，占总支出的2.98%;</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卫生健康</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行政事业单位医疗</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公务员医疗补助</w:t>
      </w:r>
      <w:r>
        <w:rPr>
          <w:rFonts w:hint="eastAsia" w:ascii="仿宋_GB2312" w:hAnsi="ˎ̥" w:eastAsia="仿宋_GB2312"/>
          <w:b/>
          <w:bCs/>
          <w:color w:val="auto"/>
          <w:sz w:val="32"/>
          <w:szCs w:val="32"/>
        </w:rPr>
        <w:t>(项)</w:t>
      </w:r>
      <w:r>
        <w:rPr>
          <w:rFonts w:hint="eastAsia" w:ascii="仿宋_GB2312" w:hAnsi="ˎ̥" w:eastAsia="仿宋_GB2312"/>
          <w:color w:val="000000" w:themeColor="text1"/>
          <w:sz w:val="32"/>
          <w:szCs w:val="32"/>
          <w:lang w:val="en-US" w:eastAsia="zh-CN"/>
          <w14:textFill>
            <w14:solidFill>
              <w14:schemeClr w14:val="tx1"/>
            </w14:solidFill>
          </w14:textFill>
        </w:rPr>
        <w:t>支出4.22万元，占总支出的0.77%;</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住房保障</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住房改革</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住房公积金</w:t>
      </w:r>
      <w:r>
        <w:rPr>
          <w:rFonts w:hint="eastAsia" w:ascii="仿宋_GB2312" w:hAnsi="ˎ̥" w:eastAsia="仿宋_GB2312"/>
          <w:b/>
          <w:bCs/>
          <w:color w:val="auto"/>
          <w:sz w:val="32"/>
          <w:szCs w:val="32"/>
        </w:rPr>
        <w:t>(项)</w:t>
      </w:r>
      <w:r>
        <w:rPr>
          <w:rFonts w:hint="eastAsia" w:ascii="仿宋_GB2312" w:hAnsi="ˎ̥" w:eastAsia="仿宋_GB2312"/>
          <w:color w:val="000000" w:themeColor="text1"/>
          <w:sz w:val="32"/>
          <w:szCs w:val="32"/>
          <w:lang w:val="en-US" w:eastAsia="zh-CN"/>
          <w14:textFill>
            <w14:solidFill>
              <w14:schemeClr w14:val="tx1"/>
            </w14:solidFill>
          </w14:textFill>
        </w:rPr>
        <w:t>支出25.33万元，占总支出的4.65%;</w:t>
      </w:r>
    </w:p>
    <w:p>
      <w:pPr>
        <w:spacing w:line="360" w:lineRule="auto"/>
        <w:ind w:firstLine="642"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lang w:eastAsia="zh-CN"/>
        </w:rPr>
        <w:t>住房保障</w:t>
      </w:r>
      <w:r>
        <w:rPr>
          <w:rFonts w:hint="eastAsia" w:ascii="仿宋_GB2312" w:hAnsi="ˎ̥" w:eastAsia="仿宋_GB2312"/>
          <w:b/>
          <w:bCs/>
          <w:color w:val="auto"/>
          <w:sz w:val="32"/>
          <w:szCs w:val="32"/>
        </w:rPr>
        <w:t>支出(类)</w:t>
      </w:r>
      <w:r>
        <w:rPr>
          <w:rFonts w:hint="eastAsia" w:ascii="仿宋_GB2312" w:hAnsi="ˎ̥" w:eastAsia="仿宋_GB2312"/>
          <w:b/>
          <w:bCs/>
          <w:color w:val="auto"/>
          <w:sz w:val="32"/>
          <w:szCs w:val="32"/>
          <w:lang w:eastAsia="zh-CN"/>
        </w:rPr>
        <w:t>住房改革</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购房补贴</w:t>
      </w:r>
      <w:r>
        <w:rPr>
          <w:rFonts w:hint="eastAsia" w:ascii="仿宋_GB2312" w:hAnsi="ˎ̥" w:eastAsia="仿宋_GB2312"/>
          <w:b/>
          <w:bCs/>
          <w:color w:val="auto"/>
          <w:sz w:val="32"/>
          <w:szCs w:val="32"/>
        </w:rPr>
        <w:t>(项)</w:t>
      </w:r>
      <w:r>
        <w:rPr>
          <w:rFonts w:hint="eastAsia" w:ascii="仿宋_GB2312" w:hAnsi="ˎ̥" w:eastAsia="仿宋_GB2312"/>
          <w:color w:val="000000" w:themeColor="text1"/>
          <w:sz w:val="32"/>
          <w:szCs w:val="32"/>
          <w:lang w:val="en-US" w:eastAsia="zh-CN"/>
          <w14:textFill>
            <w14:solidFill>
              <w14:schemeClr w14:val="tx1"/>
            </w14:solidFill>
          </w14:textFill>
        </w:rPr>
        <w:t>支出13.14万元，占总支出的2.41%。</w:t>
      </w:r>
    </w:p>
    <w:p>
      <w:pPr>
        <w:spacing w:line="578" w:lineRule="exact"/>
        <w:ind w:firstLine="640" w:firstLineChars="200"/>
        <w:outlineLvl w:val="1"/>
        <w:rPr>
          <w:rFonts w:hint="eastAsia" w:ascii="楷体" w:hAnsi="楷体" w:eastAsia="楷体" w:cs="楷体"/>
          <w:color w:val="auto"/>
          <w:sz w:val="32"/>
          <w:szCs w:val="32"/>
        </w:rPr>
      </w:pPr>
      <w:bookmarkStart w:id="85" w:name="_Toc6231"/>
      <w:r>
        <w:rPr>
          <w:rFonts w:hint="eastAsia" w:ascii="楷体" w:hAnsi="楷体" w:eastAsia="楷体" w:cs="楷体"/>
          <w:color w:val="auto"/>
          <w:sz w:val="32"/>
          <w:szCs w:val="32"/>
        </w:rPr>
        <w:t>（三）一般公共预算财政拨款支出决算具体情况。</w:t>
      </w:r>
      <w:bookmarkEnd w:id="85"/>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    2024年度一般公共预算财政拨款支出年初预算为511.72万元，支出决算为545.24万元，完成年初预算的106.55%，主要是项目支出和人员经费增加。</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default" w:ascii="仿宋_GB2312" w:hAnsi="ˎ̥" w:eastAsia="仿宋_GB2312"/>
          <w:color w:val="000000" w:themeColor="text1"/>
          <w:sz w:val="32"/>
          <w:szCs w:val="32"/>
          <w:lang w:val="en-US" w:eastAsia="zh-CN"/>
          <w14:textFill>
            <w14:solidFill>
              <w14:schemeClr w14:val="tx1"/>
            </w14:solidFill>
          </w14:textFill>
        </w:rPr>
        <w:t>2024</w:t>
      </w:r>
      <w:r>
        <w:rPr>
          <w:rFonts w:hint="eastAsia" w:ascii="仿宋_GB2312" w:hAnsi="ˎ̥" w:eastAsia="仿宋_GB2312"/>
          <w:color w:val="000000" w:themeColor="text1"/>
          <w:sz w:val="32"/>
          <w:szCs w:val="32"/>
          <w:lang w:val="en-US" w:eastAsia="zh-CN"/>
          <w14:textFill>
            <w14:solidFill>
              <w14:schemeClr w14:val="tx1"/>
            </w14:solidFill>
          </w14:textFill>
        </w:rPr>
        <w:t>年度财政拨款基本支出333.13万元，其中：人员经费316.36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16.77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    我单位2024年度无政府性基金预算财政拨款。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sz w:val="32"/>
          <w:szCs w:val="32"/>
        </w:rPr>
      </w:pPr>
      <w:r>
        <w:rPr>
          <w:rFonts w:hint="eastAsia" w:ascii="仿宋" w:hAnsi="仿宋" w:eastAsia="仿宋" w:cs="仿宋"/>
          <w:kern w:val="2"/>
          <w:sz w:val="32"/>
          <w:szCs w:val="32"/>
          <w:highlight w:val="none"/>
          <w:lang w:val="en-US" w:eastAsia="zh-CN" w:bidi="ar-SA"/>
        </w:rPr>
        <w:t>我单位2024年度无政府性基金预算财政拨款。</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    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6.80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6.80</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“三公”经费支出增加</w:t>
      </w:r>
      <w:r>
        <w:rPr>
          <w:rFonts w:hint="eastAsia" w:ascii="仿宋_GB2312" w:hAnsi="ˎ̥" w:eastAsia="仿宋_GB2312"/>
          <w:color w:val="000000" w:themeColor="text1"/>
          <w:sz w:val="32"/>
          <w:szCs w:val="32"/>
          <w:lang w:val="en-US" w:eastAsia="zh-CN"/>
          <w14:textFill>
            <w14:solidFill>
              <w14:schemeClr w14:val="tx1"/>
            </w14:solidFill>
          </w14:textFill>
        </w:rPr>
        <w:t>1.24</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22.3</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公务用车购置和运行维护费增加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6.80</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车子维修</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黑体" w:hAnsi="黑体" w:eastAsia="黑体" w:cs="黑体"/>
          <w:bCs/>
          <w:sz w:val="32"/>
          <w:szCs w:val="32"/>
        </w:rPr>
        <w:t>十、预算绩效情况说明</w:t>
      </w:r>
    </w:p>
    <w:p>
      <w:pPr>
        <w:spacing w:line="578" w:lineRule="exact"/>
        <w:ind w:firstLine="640" w:firstLineChars="200"/>
        <w:rPr>
          <w:rFonts w:hint="eastAsia" w:ascii="仿宋_GB2312" w:eastAsia="仿宋_GB2312"/>
          <w:color w:val="000000"/>
          <w:sz w:val="32"/>
          <w:szCs w:val="32"/>
          <w:lang w:val="en-US" w:eastAsia="zh-CN" w:bidi="ar"/>
        </w:rPr>
      </w:pPr>
      <w:r>
        <w:rPr>
          <w:rFonts w:hint="eastAsia" w:ascii="仿宋_GB2312" w:hAnsi="ˎ̥" w:eastAsia="仿宋_GB2312"/>
          <w:color w:val="000000" w:themeColor="text1"/>
          <w:sz w:val="32"/>
          <w:szCs w:val="32"/>
          <w:lang w:val="en-US" w:eastAsia="zh-CN"/>
          <w14:textFill>
            <w14:solidFill>
              <w14:schemeClr w14:val="tx1"/>
            </w14:solidFill>
          </w14:textFill>
        </w:rPr>
        <w:t>根据预算管理要求，我部门（单位）组织对2024年度一般公共预算项目支出全面开展绩效自评。项目3个，共涉及资金212.11万元，占一般公共预算项目支出总额的100%。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eastAsia="仿宋_GB2312"/>
          <w:color w:val="000000"/>
          <w:sz w:val="32"/>
          <w:szCs w:val="32"/>
          <w:lang w:val="en-US" w:eastAsia="zh-CN" w:bidi="ar"/>
        </w:rPr>
        <w:sectPr>
          <w:pgSz w:w="11906" w:h="16838"/>
          <w:pgMar w:top="2098" w:right="1474" w:bottom="1718" w:left="1587" w:header="851" w:footer="992" w:gutter="0"/>
          <w:cols w:space="720" w:num="1"/>
          <w:rtlGutter w:val="0"/>
          <w:docGrid w:type="lines" w:linePitch="315" w:charSpace="0"/>
        </w:sectPr>
      </w:pPr>
    </w:p>
    <w:tbl>
      <w:tblPr>
        <w:tblStyle w:val="10"/>
        <w:tblW w:w="13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5"/>
        <w:gridCol w:w="1201"/>
        <w:gridCol w:w="1541"/>
        <w:gridCol w:w="1062"/>
        <w:gridCol w:w="433"/>
        <w:gridCol w:w="1020"/>
        <w:gridCol w:w="755"/>
        <w:gridCol w:w="834"/>
        <w:gridCol w:w="1189"/>
        <w:gridCol w:w="858"/>
        <w:gridCol w:w="829"/>
        <w:gridCol w:w="948"/>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238" w:type="dxa"/>
            <w:gridSpan w:val="13"/>
            <w:tcBorders>
              <w:top w:val="nil"/>
              <w:left w:val="nil"/>
              <w:bottom w:val="nil"/>
              <w:right w:val="nil"/>
            </w:tcBorders>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238"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0862"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外聘人员专项经费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主管部门</w:t>
            </w:r>
          </w:p>
        </w:tc>
        <w:tc>
          <w:tcPr>
            <w:tcW w:w="564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130-墨脱电视台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实施单位</w:t>
            </w:r>
          </w:p>
        </w:tc>
        <w:tc>
          <w:tcPr>
            <w:tcW w:w="402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130001-墨脱县电视台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项目资金(元)</w:t>
            </w: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资金构成</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年初预算数</w:t>
            </w:r>
          </w:p>
        </w:tc>
        <w:tc>
          <w:tcPr>
            <w:tcW w:w="158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全年预算数</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执行率</w:t>
            </w: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资金总额：</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1178200</w:t>
            </w:r>
          </w:p>
        </w:tc>
        <w:tc>
          <w:tcPr>
            <w:tcW w:w="158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1178200</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1178200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其中：财政资金：</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1178200</w:t>
            </w:r>
          </w:p>
        </w:tc>
        <w:tc>
          <w:tcPr>
            <w:tcW w:w="158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1178200</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1178200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3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单位资金：</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58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6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财政专户管理资金：</w:t>
            </w:r>
          </w:p>
        </w:tc>
        <w:tc>
          <w:tcPr>
            <w:tcW w:w="14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83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年度目标</w:t>
            </w:r>
          </w:p>
        </w:tc>
        <w:tc>
          <w:tcPr>
            <w:tcW w:w="601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预期目标</w:t>
            </w:r>
          </w:p>
        </w:tc>
        <w:tc>
          <w:tcPr>
            <w:tcW w:w="605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601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促进电视节目的制作、转播等</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605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75"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w:t>
            </w: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指标性质</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年度指标值</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度量单位</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实际完成值</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完成率</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得分</w:t>
            </w:r>
          </w:p>
        </w:tc>
        <w:tc>
          <w:tcPr>
            <w:tcW w:w="1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外聘人员聘用合格率</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完成</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补助人数</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外聘人员工资发放率准确率</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按时发放</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外聘人员社会保险缴纳准确率</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全部参保</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外聘人员工资支付标准</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8376.3</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元/人*月</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按时支付</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效果指标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各项工作开展效果</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有效</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时效指标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外聘人员聘用到位及时率</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好</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效益指标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社会效益指标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保障工作正常开展</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好</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效益指标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可持续影响指标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外聘人员工作对本单位的影响率</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175" w:type="dxa"/>
            <w:vMerge w:val="continue"/>
            <w:tcBorders>
              <w:left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满意度指标</w:t>
            </w:r>
          </w:p>
        </w:tc>
        <w:tc>
          <w:tcPr>
            <w:tcW w:w="15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服务对象满意度指标</w:t>
            </w:r>
          </w:p>
        </w:tc>
        <w:tc>
          <w:tcPr>
            <w:tcW w:w="14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外聘人员满意度</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5"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893" w:type="dxa"/>
            <w:gridSpan w:val="9"/>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总分</w:t>
            </w:r>
          </w:p>
        </w:tc>
        <w:tc>
          <w:tcPr>
            <w:tcW w:w="8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等线" w:hAnsi="等线" w:eastAsia="等线" w:cs="等线"/>
                <w:i w:val="0"/>
                <w:color w:val="000000"/>
                <w:kern w:val="0"/>
                <w:sz w:val="18"/>
                <w:szCs w:val="18"/>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4"/>
                <w:szCs w:val="24"/>
                <w:u w:val="none"/>
              </w:rPr>
            </w:pPr>
          </w:p>
        </w:tc>
      </w:tr>
    </w:tbl>
    <w:p>
      <w:pPr>
        <w:spacing w:line="578" w:lineRule="exact"/>
        <w:rPr>
          <w:rFonts w:hint="eastAsia" w:ascii="仿宋_GB2312" w:eastAsia="仿宋_GB2312"/>
          <w:color w:val="auto"/>
          <w:sz w:val="32"/>
          <w:szCs w:val="32"/>
          <w:lang w:val="en-US" w:eastAsia="zh-CN" w:bidi="ar"/>
        </w:rPr>
        <w:sectPr>
          <w:pgSz w:w="16838" w:h="11906" w:orient="landscape"/>
          <w:pgMar w:top="1587" w:right="2098" w:bottom="1474" w:left="1718" w:header="851" w:footer="992" w:gutter="0"/>
          <w:cols w:space="720" w:num="1"/>
          <w:rtlGutter w:val="0"/>
          <w:docGrid w:type="lines" w:linePitch="315"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86" w:name="_Toc32639_WPSOffice_Level2"/>
      <w:bookmarkStart w:id="87" w:name="_Toc18325_WPSOffice_Level2"/>
      <w:bookmarkStart w:id="88" w:name="_Toc5978_WPSOffice_Level2"/>
      <w:bookmarkStart w:id="89" w:name="_Toc23598_WPSOffice_Level2"/>
      <w:bookmarkStart w:id="90" w:name="_Toc15565_WPSOffice_Level2"/>
      <w:bookmarkStart w:id="91" w:name="_Toc15262_WPSOffice_Level2"/>
      <w:r>
        <w:rPr>
          <w:rFonts w:hint="eastAsia" w:ascii="楷体" w:hAnsi="楷体" w:eastAsia="楷体" w:cs="楷体"/>
          <w:bCs/>
          <w:color w:val="auto"/>
          <w:sz w:val="32"/>
          <w:szCs w:val="32"/>
        </w:rPr>
        <w:t>（一）机关运行经费支出情况</w:t>
      </w:r>
      <w:bookmarkEnd w:id="86"/>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我</w:t>
      </w:r>
      <w:r>
        <w:rPr>
          <w:rFonts w:hint="eastAsia" w:ascii="仿宋_GB2312" w:hAnsi="ˎ̥" w:eastAsia="仿宋_GB2312"/>
          <w:color w:val="auto"/>
          <w:sz w:val="32"/>
          <w:szCs w:val="32"/>
        </w:rPr>
        <w:t>单位机关运行经费</w:t>
      </w:r>
      <w:r>
        <w:rPr>
          <w:rFonts w:hint="eastAsia" w:ascii="仿宋_GB2312" w:hAnsi="ˎ̥" w:eastAsia="仿宋_GB2312"/>
          <w:color w:val="auto"/>
          <w:sz w:val="32"/>
          <w:szCs w:val="32"/>
          <w:lang w:val="en-US" w:eastAsia="zh-CN"/>
        </w:rPr>
        <w:t>16.77</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auto"/>
          <w:sz w:val="32"/>
          <w:szCs w:val="32"/>
          <w:lang w:val="en-US" w:eastAsia="zh-CN"/>
        </w:rPr>
        <w:t>0.25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完成预算的98.51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与2023年度相比，机关运行经费增加0.79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增长4.94%。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shd w:val="clear" w:color="auto" w:fill="auto"/>
          <w:lang w:val="en-US" w:eastAsia="zh-CN"/>
        </w:rPr>
        <w:t>公务用车运行维护费用增加。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2" w:name="_Toc25333_WPSOffice_Level2"/>
      <w:bookmarkStart w:id="93" w:name="_Toc23966_WPSOffice_Level2"/>
      <w:bookmarkStart w:id="94" w:name="_Toc30383_WPSOffice_Level2"/>
      <w:bookmarkStart w:id="95" w:name="_Toc13084_WPSOffice_Level2"/>
      <w:bookmarkStart w:id="96" w:name="_Toc3131_WPSOffice_Level2"/>
      <w:bookmarkStart w:id="97" w:name="_Toc32689_WPSOffice_Level2"/>
      <w:r>
        <w:rPr>
          <w:rFonts w:hint="eastAsia" w:ascii="楷体" w:hAnsi="楷体" w:eastAsia="楷体" w:cs="楷体"/>
          <w:bCs/>
          <w:color w:val="auto"/>
          <w:sz w:val="32"/>
          <w:szCs w:val="32"/>
        </w:rPr>
        <w:t>（二）政府采购支出情况</w:t>
      </w:r>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我单位无</w:t>
      </w:r>
      <w:r>
        <w:rPr>
          <w:rFonts w:hint="eastAsia" w:ascii="仿宋_GB2312" w:hAnsi="ˎ̥" w:eastAsia="仿宋_GB2312"/>
          <w:color w:val="auto"/>
          <w:sz w:val="32"/>
          <w:szCs w:val="32"/>
        </w:rPr>
        <w:t>政府采购支出。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8" w:name="_Toc527_WPSOffice_Level2"/>
      <w:bookmarkStart w:id="99" w:name="_Toc15129_WPSOffice_Level2"/>
      <w:bookmarkStart w:id="100" w:name="_Toc10902_WPSOffice_Level2"/>
      <w:bookmarkStart w:id="101" w:name="_Toc6016_WPSOffice_Level2"/>
      <w:bookmarkStart w:id="102" w:name="_Toc19989_WPSOffice_Level2"/>
      <w:bookmarkStart w:id="103" w:name="_Toc29584_WPSOffice_Level2"/>
      <w:r>
        <w:rPr>
          <w:rFonts w:hint="eastAsia" w:ascii="楷体" w:hAnsi="楷体" w:eastAsia="楷体" w:cs="楷体"/>
          <w:bCs/>
          <w:color w:val="auto"/>
          <w:sz w:val="32"/>
          <w:szCs w:val="32"/>
        </w:rPr>
        <w:t>（三）国有资产占用情况</w:t>
      </w:r>
      <w:bookmarkEnd w:id="98"/>
      <w:bookmarkEnd w:id="99"/>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600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辆，主要是</w:t>
      </w:r>
      <w:r>
        <w:rPr>
          <w:rFonts w:hint="eastAsia" w:ascii="仿宋_GB2312" w:hAnsi="ˎ̥" w:eastAsia="仿宋_GB2312"/>
          <w:color w:val="auto"/>
          <w:sz w:val="32"/>
          <w:szCs w:val="32"/>
          <w:lang w:val="en-US" w:eastAsia="zh-CN"/>
        </w:rPr>
        <w:t>用于记者下乡开展采访、拍摄工作</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04" w:name="_Toc17580_WPSOffice_Level1"/>
      <w:bookmarkStart w:id="105" w:name="_Toc11039_WPSOffice_Level1"/>
      <w:bookmarkStart w:id="106" w:name="_Toc15425_WPSOffice_Level1"/>
      <w:bookmarkStart w:id="107" w:name="_Toc4398_WPSOffice_Level1"/>
      <w:bookmarkStart w:id="108" w:name="_Toc8874_WPSOffice_Level1"/>
      <w:bookmarkStart w:id="109" w:name="_Toc8808_WPSOffice_Level1"/>
    </w:p>
    <w:p>
      <w:pPr>
        <w:pStyle w:val="2"/>
        <w:rPr>
          <w:rFonts w:hint="eastAsia" w:ascii="黑体" w:hAnsi="ˎ̥" w:eastAsia="黑体"/>
          <w:sz w:val="32"/>
          <w:szCs w:val="32"/>
        </w:rPr>
      </w:pPr>
    </w:p>
    <w:p>
      <w:pPr>
        <w:rPr>
          <w:rFonts w:hint="eastAsia" w:ascii="黑体" w:hAnsi="ˎ̥" w:eastAsia="黑体"/>
          <w:sz w:val="32"/>
          <w:szCs w:val="32"/>
        </w:rPr>
      </w:pPr>
    </w:p>
    <w:p>
      <w:pPr>
        <w:pStyle w:val="2"/>
        <w:rPr>
          <w:rFonts w:hint="eastAsia" w:ascii="黑体" w:hAnsi="ˎ̥" w:eastAsia="黑体"/>
          <w:sz w:val="32"/>
          <w:szCs w:val="32"/>
        </w:rPr>
      </w:pPr>
    </w:p>
    <w:p>
      <w:pPr>
        <w:rPr>
          <w:rFonts w:hint="eastAsia" w:ascii="黑体" w:hAnsi="ˎ̥" w:eastAsia="黑体"/>
          <w:sz w:val="32"/>
          <w:szCs w:val="32"/>
        </w:rPr>
      </w:pPr>
    </w:p>
    <w:p>
      <w:pPr>
        <w:pStyle w:val="2"/>
        <w:rPr>
          <w:rFonts w:hint="eastAsia" w:ascii="黑体" w:hAnsi="ˎ̥" w:eastAsia="黑体"/>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pStyle w:val="2"/>
        <w:rPr>
          <w:rFonts w:hint="eastAsia" w:ascii="仿宋_GB2312" w:hAnsi="ˎ̥" w:eastAsia="仿宋_GB2312"/>
          <w:sz w:val="32"/>
          <w:szCs w:val="3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墨脱县电视台外聘人员专项经费绩效自评报告</w:t>
      </w:r>
    </w:p>
    <w:p>
      <w:pPr>
        <w:rPr>
          <w:rFonts w:hint="eastAsia" w:ascii="仿宋_GB2312" w:hAnsi="ˎ̥" w:eastAsia="仿宋_GB2312"/>
          <w:sz w:val="32"/>
          <w:szCs w:val="32"/>
        </w:rPr>
      </w:pPr>
      <w:r>
        <w:rPr>
          <w:rFonts w:hint="eastAsia" w:ascii="仿宋_GB2312" w:hAnsi="ˎ̥"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（一）项目概况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墨脱县电视台（单位信息：130001-墨脱县电视台，主管部门：130-墨脱电视台）实施“外聘人员专项经费”项目，旨在促进电视节目的制作、转播等工作开展。项目通过外聘专业人员，补充人力缺口，保障电视节目生产、传播全流程高效运转，提升县域内广播电视服务质量与覆盖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本项目围绕产出、效益、满意度三大维度设定多级绩效指标，具体如下：</w:t>
      </w:r>
    </w:p>
    <w:tbl>
      <w:tblPr>
        <w:tblStyle w:val="10"/>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92"/>
        <w:gridCol w:w="2662"/>
        <w:gridCol w:w="771"/>
        <w:gridCol w:w="695"/>
        <w:gridCol w:w="957"/>
        <w:gridCol w:w="749"/>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指标性质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历史参考值</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度量单位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外聘人员聘用合格率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外聘人员工资发放率准确率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外聘人员社会保险缴纳准确率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外聘人员工资支付标准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8376.3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各项工作开展效果</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外聘人员聘用到位及时率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保障工作正常开展</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外聘人员工作对本单位的影响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外聘人员满意度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sz w:val="32"/>
          <w:szCs w:val="32"/>
        </w:rPr>
        <w:t>二、绩效自评工作开展情况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为客观评估项目绩效，我单位成立专项自评小组，通过资料核查、数据统计、人员访谈（含外聘人员、内部职工、服务对象）等方式，对各项绩效指标完成情况、经费使用效率、项目效益等进行全面核查，确保自评结果真实、准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sz w:val="32"/>
          <w:szCs w:val="32"/>
        </w:rPr>
        <w:t>三、绩效目标完成情况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楷体" w:hAnsi="楷体" w:eastAsia="楷体" w:cs="楷体"/>
          <w:bCs/>
          <w:color w:val="auto"/>
          <w:sz w:val="32"/>
          <w:szCs w:val="32"/>
        </w:rPr>
        <w:t>（一）产出指标完成情况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 外聘人员聘用合格率：通过严格的招聘流程（简历筛选、专业测试、面试），最终聘用的外聘人员均符合岗位要求，合格率达100%，完成指标值。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2. 补助人数：实际补助外聘人员4人，与指标值一致，完成率100%。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3. 外聘人员工资发放率准确率：严格按照工资核算标准与发放流程执行，工资发放零差错，准确率100%。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4. 外聘人员社会保险缴纳准确率：按时、足额为外聘人员缴纳社会保险，无漏缴、错缴情况，准确率100%。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5. 外聘人员工资支付标准：实际工资支付标准为8376.3元/人·月，与指标值一致，完成率100%。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6. 各项工作开展效果：外聘人员在节目制作、转播等岗位上履职到位，节目生产效率、质量均达预期，效果达成率100%。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7. 外聘人员聘用到位及时率：招聘流程高效推进，外聘人员均在规定时间内到岗开展工作，及时率100%。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（二）效益指标完成情况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 社会效益指标（保障工作正常开展）：外聘人员的加入有效补充了人力，电视节目制作、转播等工作均按计划正常开展，保障率100%，提升了县域内广播电视服务的稳定性与覆盖面。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2. 可持续影响指标（外聘人员工作对本单位的影响）：外聘人员凭借专业能力为单位带来了新的工作思路与技术方法，对单位长期发展的正向影响显著，达成率95%。</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楷体" w:hAnsi="楷体" w:eastAsia="楷体" w:cs="楷体"/>
          <w:bCs/>
          <w:color w:val="auto"/>
          <w:sz w:val="32"/>
          <w:szCs w:val="32"/>
        </w:rPr>
        <w:t>（三）满意度指标完成情况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通过对外聘人员开展满意度调研（问卷、访谈结合），外聘人员对薪酬福利、工作环境、管理机制等方面的满意度为90%，达到指标值。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sz w:val="32"/>
          <w:szCs w:val="32"/>
        </w:rPr>
        <w:t>四、预算执行情况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项目预算执行率权重为10%。经核查，项目经费严格按照预算编制与审批流程使用，支出合规、账目清晰，预算执行率达标。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sz w:val="32"/>
          <w:szCs w:val="32"/>
        </w:rPr>
        <w:t>五、存在问题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虽项目整体绩效目标完成情况良好，但仍存在以下不足：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 外聘人员长期稳定性有待提升，部分岗位存在人才流动风险。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2. 外聘人员与在编人员的协作机制可进一步优化，以提升团队整体效能。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sz w:val="32"/>
          <w:szCs w:val="32"/>
        </w:rPr>
        <w:t>六、下一步改进措施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 优化外聘人员激励机制，通过职业发展引导、福利提升等方式增强人员稳定性。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2. 定期组织内外部人员交流培训，完善协作流程，促进团队融合与效能提升。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sz w:val="32"/>
          <w:szCs w:val="32"/>
        </w:rPr>
        <w:t>七、自评结论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综上，墨脱县电视台“外聘人员专项经费”项目各项绩效指标均按要求完成，预算执行合规，社会效益与可持续影响显著，满意度达标，项目绩效自评结论为优秀。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w:t>
      </w:r>
    </w:p>
    <w:p>
      <w:pPr>
        <w:pStyle w:val="2"/>
        <w:jc w:val="center"/>
        <w:rPr>
          <w:rFonts w:hint="default" w:ascii="仿宋_GB2312" w:hAnsi="ˎ̥" w:eastAsia="仿宋_GB2312" w:cs="Times New Roman"/>
          <w:kern w:val="2"/>
          <w:sz w:val="32"/>
          <w:szCs w:val="32"/>
          <w:lang w:val="en-US" w:eastAsia="zh-CN" w:bidi="ar-SA"/>
        </w:rPr>
      </w:pPr>
      <w:bookmarkStart w:id="110" w:name="_GoBack"/>
      <w:bookmarkEnd w:id="11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decorative"/>
    <w:pitch w:val="default"/>
    <w:sig w:usb0="00000000" w:usb1="00000000" w:usb2="00000000" w:usb3="00000000" w:csb0="00040001" w:csb1="00000000"/>
  </w:font>
  <w:font w:name="仿宋">
    <w:altName w:val="方正仿宋_GBK"/>
    <w:panose1 w:val="02010609060101010101"/>
    <w:charset w:val="86"/>
    <w:family w:val="roman"/>
    <w:pitch w:val="default"/>
    <w:sig w:usb0="00000000" w:usb1="00000000" w:usb2="00000016" w:usb3="00000000" w:csb0="00040001" w:csb1="00000000"/>
  </w:font>
  <w:font w:name="楷体">
    <w:altName w:val="方正楷体_GBK"/>
    <w:panose1 w:val="02010609060101010101"/>
    <w:charset w:val="86"/>
    <w:family w:val="roma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E0C6F44B"/>
    <w:multiLevelType w:val="singleLevel"/>
    <w:tmpl w:val="E0C6F44B"/>
    <w:lvl w:ilvl="0" w:tentative="0">
      <w:start w:val="2"/>
      <w:numFmt w:val="chineseCounting"/>
      <w:suff w:val="space"/>
      <w:lvlText w:val="第%1部分"/>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957EDC"/>
    <w:rsid w:val="042C63A6"/>
    <w:rsid w:val="05914422"/>
    <w:rsid w:val="073E59CE"/>
    <w:rsid w:val="08087EE7"/>
    <w:rsid w:val="09201287"/>
    <w:rsid w:val="0A142497"/>
    <w:rsid w:val="0CB83ED8"/>
    <w:rsid w:val="0E1A23D3"/>
    <w:rsid w:val="0F2243FE"/>
    <w:rsid w:val="0F6D5C2F"/>
    <w:rsid w:val="0FC80124"/>
    <w:rsid w:val="10D4446D"/>
    <w:rsid w:val="136F98C7"/>
    <w:rsid w:val="161F21AA"/>
    <w:rsid w:val="171D7B52"/>
    <w:rsid w:val="17427E68"/>
    <w:rsid w:val="1755065F"/>
    <w:rsid w:val="183C4872"/>
    <w:rsid w:val="196C33ED"/>
    <w:rsid w:val="19C36115"/>
    <w:rsid w:val="1A7F12E1"/>
    <w:rsid w:val="1AFC29C9"/>
    <w:rsid w:val="1CA52F2E"/>
    <w:rsid w:val="1D4D1035"/>
    <w:rsid w:val="1DA376A1"/>
    <w:rsid w:val="1DCE5761"/>
    <w:rsid w:val="1DFE370B"/>
    <w:rsid w:val="1E075EF8"/>
    <w:rsid w:val="1E3630B9"/>
    <w:rsid w:val="1FD02968"/>
    <w:rsid w:val="2114783D"/>
    <w:rsid w:val="23DD0494"/>
    <w:rsid w:val="242B2CD7"/>
    <w:rsid w:val="252A0DF1"/>
    <w:rsid w:val="26EEC2B5"/>
    <w:rsid w:val="2776679A"/>
    <w:rsid w:val="28F15529"/>
    <w:rsid w:val="29472309"/>
    <w:rsid w:val="2A3E519D"/>
    <w:rsid w:val="2B406E77"/>
    <w:rsid w:val="2C2643AF"/>
    <w:rsid w:val="2C2A0C43"/>
    <w:rsid w:val="2D1E73A5"/>
    <w:rsid w:val="2FAE0281"/>
    <w:rsid w:val="302D5E2D"/>
    <w:rsid w:val="32717154"/>
    <w:rsid w:val="32B22CEC"/>
    <w:rsid w:val="34B63260"/>
    <w:rsid w:val="35622DBA"/>
    <w:rsid w:val="365D764D"/>
    <w:rsid w:val="37FDA7E2"/>
    <w:rsid w:val="3A314D88"/>
    <w:rsid w:val="3A746883"/>
    <w:rsid w:val="3B483537"/>
    <w:rsid w:val="3BE433AC"/>
    <w:rsid w:val="3CA15DE9"/>
    <w:rsid w:val="3D147FB9"/>
    <w:rsid w:val="3F0B7CF0"/>
    <w:rsid w:val="3F170760"/>
    <w:rsid w:val="3F6104D0"/>
    <w:rsid w:val="3FE61EE5"/>
    <w:rsid w:val="406508EE"/>
    <w:rsid w:val="408D6263"/>
    <w:rsid w:val="40FB1F77"/>
    <w:rsid w:val="41B40CEE"/>
    <w:rsid w:val="439919C3"/>
    <w:rsid w:val="47990454"/>
    <w:rsid w:val="48317291"/>
    <w:rsid w:val="485F7024"/>
    <w:rsid w:val="486961BE"/>
    <w:rsid w:val="48E70666"/>
    <w:rsid w:val="4A294289"/>
    <w:rsid w:val="4B4366C5"/>
    <w:rsid w:val="4C6877E5"/>
    <w:rsid w:val="4CCA24FD"/>
    <w:rsid w:val="4D4E7D41"/>
    <w:rsid w:val="4D6A468D"/>
    <w:rsid w:val="4DD23999"/>
    <w:rsid w:val="4EA86137"/>
    <w:rsid w:val="51026B65"/>
    <w:rsid w:val="51FA1DF7"/>
    <w:rsid w:val="54C53A14"/>
    <w:rsid w:val="56CA7FD0"/>
    <w:rsid w:val="57774DE3"/>
    <w:rsid w:val="57FA38D1"/>
    <w:rsid w:val="5B727C92"/>
    <w:rsid w:val="5C590B4D"/>
    <w:rsid w:val="5C804D9E"/>
    <w:rsid w:val="5ED24456"/>
    <w:rsid w:val="5F401DB0"/>
    <w:rsid w:val="5F545F97"/>
    <w:rsid w:val="5F662A7B"/>
    <w:rsid w:val="5F7D3333"/>
    <w:rsid w:val="61385890"/>
    <w:rsid w:val="62B57CA4"/>
    <w:rsid w:val="635D7697"/>
    <w:rsid w:val="6504510C"/>
    <w:rsid w:val="67317C31"/>
    <w:rsid w:val="68010B27"/>
    <w:rsid w:val="687436E1"/>
    <w:rsid w:val="68D00C37"/>
    <w:rsid w:val="695628A2"/>
    <w:rsid w:val="6A7E4EC8"/>
    <w:rsid w:val="6B376CE6"/>
    <w:rsid w:val="6C59160C"/>
    <w:rsid w:val="6D7D567C"/>
    <w:rsid w:val="6DA45C50"/>
    <w:rsid w:val="6DB51E37"/>
    <w:rsid w:val="6DFB0400"/>
    <w:rsid w:val="6E9A7825"/>
    <w:rsid w:val="6EB32D6C"/>
    <w:rsid w:val="6F670F9B"/>
    <w:rsid w:val="70436056"/>
    <w:rsid w:val="70622B7E"/>
    <w:rsid w:val="70A25454"/>
    <w:rsid w:val="737450E0"/>
    <w:rsid w:val="74054476"/>
    <w:rsid w:val="742F38C4"/>
    <w:rsid w:val="74320F0B"/>
    <w:rsid w:val="7444498A"/>
    <w:rsid w:val="74AB66DC"/>
    <w:rsid w:val="74AD32E7"/>
    <w:rsid w:val="74C4154C"/>
    <w:rsid w:val="75956FFF"/>
    <w:rsid w:val="7612102D"/>
    <w:rsid w:val="77AA2D01"/>
    <w:rsid w:val="77F54E35"/>
    <w:rsid w:val="77FA2CC4"/>
    <w:rsid w:val="7A3C3932"/>
    <w:rsid w:val="7AC2411F"/>
    <w:rsid w:val="7B903447"/>
    <w:rsid w:val="7CA94478"/>
    <w:rsid w:val="7CDE1DBD"/>
    <w:rsid w:val="7CF341A0"/>
    <w:rsid w:val="7D943A85"/>
    <w:rsid w:val="7DAC0DCF"/>
    <w:rsid w:val="7DB0448C"/>
    <w:rsid w:val="7E477D15"/>
    <w:rsid w:val="7E5F9AA4"/>
    <w:rsid w:val="7F9B1DE3"/>
    <w:rsid w:val="8FFC8888"/>
    <w:rsid w:val="A7F73C99"/>
    <w:rsid w:val="BFFE3BF4"/>
    <w:rsid w:val="DFEBDA37"/>
    <w:rsid w:val="EF6FCA1D"/>
    <w:rsid w:val="EFFF57D6"/>
    <w:rsid w:val="FD33A2D0"/>
    <w:rsid w:val="FF68897D"/>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5">
    <w:name w:val="annotation text"/>
    <w:basedOn w:val="1"/>
    <w:link w:val="14"/>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7"/>
    <w:qFormat/>
    <w:uiPriority w:val="0"/>
    <w:rPr>
      <w:b/>
      <w:bCs/>
    </w:r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Char"/>
    <w:link w:val="5"/>
    <w:qFormat/>
    <w:uiPriority w:val="0"/>
    <w:rPr>
      <w:kern w:val="2"/>
      <w:sz w:val="21"/>
      <w:szCs w:val="24"/>
    </w:rPr>
  </w:style>
  <w:style w:type="character" w:customStyle="1" w:styleId="15">
    <w:name w:val="批注框文本 Char"/>
    <w:link w:val="6"/>
    <w:qFormat/>
    <w:uiPriority w:val="0"/>
    <w:rPr>
      <w:kern w:val="2"/>
      <w:sz w:val="18"/>
      <w:szCs w:val="18"/>
    </w:rPr>
  </w:style>
  <w:style w:type="character" w:customStyle="1" w:styleId="16">
    <w:name w:val="页眉 Char"/>
    <w:link w:val="8"/>
    <w:qFormat/>
    <w:uiPriority w:val="0"/>
    <w:rPr>
      <w:kern w:val="2"/>
      <w:sz w:val="18"/>
      <w:szCs w:val="18"/>
    </w:rPr>
  </w:style>
  <w:style w:type="character" w:customStyle="1" w:styleId="17">
    <w:name w:val="批注主题 Char"/>
    <w:link w:val="9"/>
    <w:qFormat/>
    <w:uiPriority w:val="0"/>
    <w:rPr>
      <w:b/>
      <w:bCs/>
      <w:kern w:val="2"/>
      <w:sz w:val="21"/>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Chars="200"/>
    </w:pPr>
    <w:rPr>
      <w:rFonts w:ascii="Times New Roman" w:hAnsi="Times New Roman" w:eastAsia="宋体" w:cs="Times New Roman"/>
      <w:lang w:val="en-US" w:eastAsia="zh-CN" w:bidi="ar-SA"/>
    </w:rPr>
  </w:style>
  <w:style w:type="paragraph" w:customStyle="1" w:styleId="20">
    <w:name w:val="正文1 Char Char Char"/>
    <w:basedOn w:val="1"/>
    <w:qFormat/>
    <w:uiPriority w:val="0"/>
    <w:pPr>
      <w:spacing w:line="360" w:lineRule="auto"/>
      <w:ind w:firstLine="200" w:firstLineChars="200"/>
    </w:pPr>
  </w:style>
  <w:style w:type="character" w:customStyle="1" w:styleId="21">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781</Words>
  <Characters>802</Characters>
  <Lines>67</Lines>
  <Paragraphs>18</Paragraphs>
  <TotalTime>9</TotalTime>
  <ScaleCrop>false</ScaleCrop>
  <LinksUpToDate>false</LinksUpToDate>
  <CharactersWithSpaces>848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2025-11-03T18:00:00Z</cp:lastPrinted>
  <dcterms:modified xsi:type="dcterms:W3CDTF">2025-11-04T20:07:07Z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eyJoZGlkIjoiMjE4NTk3NDE1MzljMDMwYTYyMjUyZWVjMTJmNzQ4OTIiLCJ1c2VySWQiOiIyNjE4MjYxMTgifQ==</vt:lpwstr>
  </property>
</Properties>
</file>