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墨脱县格当乡人民政府2024年度部门决算公开报告</w:t>
      </w:r>
    </w:p>
    <w:p>
      <w:pPr>
        <w:spacing w:line="578" w:lineRule="exact"/>
        <w:jc w:val="center"/>
        <w:rPr>
          <w:rFonts w:hint="eastAsia" w:ascii="黑体" w:hAnsi="ˎ̥" w:eastAsia="黑体"/>
          <w:b/>
          <w:sz w:val="32"/>
          <w:szCs w:val="32"/>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7"/>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17"/>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6"/>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jc w:val="both"/>
        <w:rPr>
          <w:rFonts w:hint="eastAsia" w:ascii="黑体" w:hAnsi="ˎ̥" w:eastAsia="黑体"/>
          <w:sz w:val="32"/>
          <w:szCs w:val="32"/>
        </w:rPr>
      </w:pPr>
      <w:bookmarkStart w:id="2" w:name="_Toc10049_WPSOffice_Level1"/>
      <w:bookmarkStart w:id="3" w:name="_Toc10720_WPSOffice_Level1"/>
      <w:bookmarkStart w:id="4" w:name="_Toc1704_WPSOffice_Level1"/>
      <w:bookmarkStart w:id="5" w:name="_Toc32433_WPSOffice_Level1"/>
      <w:bookmarkStart w:id="6" w:name="_Toc23465_WPSOffice_Level1"/>
      <w:bookmarkStart w:id="7" w:name="_Toc22941_WPSOffice_Level1"/>
      <w:bookmarkStart w:id="8" w:name="_Toc24238_WPSOffice_Level2"/>
      <w:bookmarkStart w:id="9" w:name="_Toc20274_WPSOffice_Level2"/>
      <w:bookmarkStart w:id="10" w:name="_Toc20205_WPSOffice_Level2"/>
      <w:bookmarkStart w:id="11" w:name="_Toc32622_WPSOffice_Level2"/>
      <w:bookmarkStart w:id="12" w:name="_Toc26580_WPSOffice_Level2"/>
      <w:bookmarkStart w:id="13" w:name="_Toc14159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p>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职责</w:t>
      </w:r>
      <w:bookmarkEnd w:id="9"/>
      <w:bookmarkEnd w:id="10"/>
      <w:bookmarkEnd w:id="11"/>
      <w:bookmarkEnd w:id="12"/>
      <w:bookmarkEnd w:id="13"/>
    </w:p>
    <w:p>
      <w:pPr>
        <w:spacing w:line="360" w:lineRule="auto"/>
        <w:ind w:firstLine="640" w:firstLineChars="200"/>
        <w:rPr>
          <w:rFonts w:hint="eastAsia" w:ascii="仿宋_GB2312" w:hAnsi="仿宋_GB2312" w:eastAsia="仿宋_GB2312" w:cs="仿宋_GB2312"/>
          <w:sz w:val="32"/>
          <w:szCs w:val="32"/>
        </w:rPr>
      </w:pPr>
      <w:bookmarkStart w:id="14" w:name="_Toc24474_WPSOffice_Level2"/>
      <w:bookmarkStart w:id="15" w:name="_Toc17796_WPSOffice_Level2"/>
      <w:bookmarkStart w:id="16" w:name="_Toc24059_WPSOffice_Level2"/>
      <w:bookmarkStart w:id="17" w:name="_Toc4833_WPSOffice_Level2"/>
      <w:bookmarkStart w:id="18" w:name="_Toc6572_WPSOffice_Level2"/>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落实政策。宣传、落实好党的路线、方针、政策和国家的</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促进发展。编制好科学发展规划，营造</w:t>
      </w:r>
      <w:r>
        <w:rPr>
          <w:rFonts w:hint="eastAsia" w:ascii="仿宋_GB2312" w:hAnsi="仿宋_GB2312" w:eastAsia="仿宋_GB2312" w:cs="仿宋_GB2312"/>
          <w:sz w:val="32"/>
          <w:szCs w:val="32"/>
          <w:lang w:eastAsia="zh-CN"/>
        </w:rPr>
        <w:t>好</w:t>
      </w:r>
      <w:r>
        <w:rPr>
          <w:rFonts w:hint="eastAsia" w:ascii="仿宋_GB2312" w:hAnsi="仿宋_GB2312" w:eastAsia="仿宋_GB2312" w:cs="仿宋_GB2312"/>
          <w:sz w:val="32"/>
          <w:szCs w:val="32"/>
        </w:rPr>
        <w:t>科学发展环境，突出乡镇特色，加强城镇建设，发展特色经济。</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维护稳定。坚持“</w:t>
      </w:r>
      <w:r>
        <w:rPr>
          <w:rFonts w:hint="eastAsia" w:ascii="仿宋_GB2312" w:hAnsi="仿宋_GB2312" w:eastAsia="仿宋_GB2312" w:cs="仿宋_GB2312"/>
          <w:sz w:val="32"/>
          <w:szCs w:val="32"/>
          <w:lang w:eastAsia="zh-CN"/>
        </w:rPr>
        <w:t>立党为公、执政为民</w:t>
      </w:r>
      <w:r>
        <w:rPr>
          <w:rFonts w:hint="eastAsia" w:ascii="仿宋_GB2312" w:hAnsi="仿宋_GB2312" w:eastAsia="仿宋_GB2312" w:cs="仿宋_GB2312"/>
          <w:sz w:val="32"/>
          <w:szCs w:val="32"/>
        </w:rPr>
        <w:t>”，紧紧围绕实现和维护群众利益开展工作，突出解决人民群众最关心、最直接、最现实的利益问题，加强和巩固农村基层政权和民主法制建设，加强社会治安综合治理。</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提供服务。进一步发展和完善农业社会化服务体系，引导各类协会和农村专业合作经济组织发展，发展农村社会公益事业和集体公益事业，提供政策、科技、市场信息和社会救济、救助服务。</w:t>
      </w:r>
    </w:p>
    <w:p>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二、机构设置</w:t>
      </w:r>
      <w:bookmarkEnd w:id="14"/>
      <w:bookmarkEnd w:id="15"/>
      <w:bookmarkEnd w:id="16"/>
      <w:bookmarkEnd w:id="17"/>
      <w:bookmarkEnd w:id="18"/>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eastAsia="zh-CN"/>
        </w:rPr>
        <w:t>墨脱县格当乡人民政府</w:t>
      </w:r>
      <w:r>
        <w:rPr>
          <w:rFonts w:hint="default" w:ascii="仿宋_GB2312" w:hAnsi="仿宋_GB2312" w:eastAsia="仿宋_GB2312" w:cs="仿宋_GB2312"/>
          <w:sz w:val="32"/>
          <w:szCs w:val="32"/>
          <w:lang w:val="en-US"/>
        </w:rPr>
        <w:t>2024</w:t>
      </w:r>
      <w:r>
        <w:rPr>
          <w:rFonts w:hint="eastAsia" w:ascii="仿宋_GB2312" w:hAnsi="仿宋_GB2312" w:eastAsia="仿宋_GB2312" w:cs="仿宋_GB2312"/>
          <w:sz w:val="32"/>
          <w:szCs w:val="32"/>
        </w:rPr>
        <w:t>年度部门决算编制范围的单位共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个，包括：</w:t>
      </w:r>
      <w:bookmarkStart w:id="19" w:name="_Toc25738_WPSOffice_Level2"/>
      <w:bookmarkStart w:id="20" w:name="_Toc24421_WPSOffice_Level2"/>
      <w:r>
        <w:rPr>
          <w:rFonts w:hint="eastAsia" w:ascii="仿宋_GB2312" w:hAnsi="仿宋_GB2312" w:eastAsia="仿宋_GB2312" w:cs="仿宋_GB2312"/>
          <w:sz w:val="32"/>
          <w:szCs w:val="32"/>
        </w:rPr>
        <w:t>墨脱县格当乡人民政府部门本级</w:t>
      </w:r>
      <w:bookmarkEnd w:id="19"/>
      <w:bookmarkEnd w:id="20"/>
      <w:r>
        <w:rPr>
          <w:rFonts w:hint="eastAsia" w:ascii="仿宋_GB2312" w:hAnsi="仿宋_GB2312" w:eastAsia="仿宋_GB2312" w:cs="仿宋_GB2312"/>
          <w:sz w:val="32"/>
          <w:szCs w:val="32"/>
          <w:lang w:eastAsia="zh-CN"/>
        </w:rPr>
        <w:t>。</w:t>
      </w:r>
    </w:p>
    <w:p>
      <w:pPr>
        <w:spacing w:line="360" w:lineRule="auto"/>
        <w:ind w:firstLine="640" w:firstLineChars="200"/>
        <w:rPr>
          <w:rFonts w:hint="eastAsia" w:ascii="仿宋_GB2312" w:hAnsi="仿宋_GB2312" w:eastAsia="仿宋_GB2312" w:cs="仿宋_GB2312"/>
          <w:sz w:val="32"/>
          <w:szCs w:val="32"/>
        </w:rPr>
      </w:pPr>
      <w:bookmarkStart w:id="21" w:name="_Toc28253_WPSOffice_Level1"/>
      <w:bookmarkStart w:id="22" w:name="_Toc6234_WPSOffice_Level1"/>
      <w:bookmarkStart w:id="23" w:name="_Toc30690_WPSOffice_Level1"/>
      <w:bookmarkStart w:id="24" w:name="_Toc8164_WPSOffice_Level1"/>
      <w:bookmarkStart w:id="25" w:name="_Toc30451_WPSOffice_Level1"/>
      <w:bookmarkStart w:id="26" w:name="_Toc15521_WPSOffice_Level1"/>
      <w:bookmarkStart w:id="27" w:name="_Toc32472_WPSOffice_Level2"/>
      <w:bookmarkStart w:id="28" w:name="_Toc11518_WPSOffice_Level2"/>
      <w:bookmarkStart w:id="29" w:name="_Toc6211_WPSOffice_Level2"/>
      <w:bookmarkStart w:id="30" w:name="_Toc4029_WPSOffice_Level2"/>
      <w:bookmarkStart w:id="31" w:name="_Toc8867_WPSOffice_Level2"/>
      <w:bookmarkStart w:id="32" w:name="_Toc32695_WPSOffice_Level2"/>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内设机构5个，即：</w:t>
      </w:r>
      <w:r>
        <w:rPr>
          <w:rFonts w:hint="eastAsia" w:ascii="仿宋_GB2312" w:hAnsi="仿宋_GB2312" w:eastAsia="仿宋_GB2312" w:cs="仿宋_GB2312"/>
          <w:sz w:val="32"/>
          <w:szCs w:val="32"/>
          <w:lang w:eastAsia="zh-CN"/>
        </w:rPr>
        <w:t>党政综合</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（财</w:t>
      </w:r>
      <w:r>
        <w:rPr>
          <w:rFonts w:hint="eastAsia" w:ascii="仿宋_GB2312" w:hAnsi="仿宋_GB2312" w:eastAsia="仿宋_GB2312" w:cs="仿宋_GB2312"/>
          <w:sz w:val="32"/>
          <w:szCs w:val="32"/>
          <w:lang w:val="en-US" w:eastAsia="zh-CN"/>
        </w:rPr>
        <w:t>政</w:t>
      </w:r>
      <w:r>
        <w:rPr>
          <w:rFonts w:hint="eastAsia" w:ascii="仿宋_GB2312" w:hAnsi="仿宋_GB2312" w:eastAsia="仿宋_GB2312" w:cs="仿宋_GB2312"/>
          <w:sz w:val="32"/>
          <w:szCs w:val="32"/>
          <w:lang w:eastAsia="zh-CN"/>
        </w:rPr>
        <w:t>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综合行政执法办公室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平安建设</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（应急管理办公室）</w:t>
      </w:r>
      <w:r>
        <w:rPr>
          <w:rFonts w:hint="eastAsia" w:ascii="仿宋_GB2312" w:hAnsi="仿宋_GB2312" w:eastAsia="仿宋_GB2312" w:cs="仿宋_GB2312"/>
          <w:sz w:val="32"/>
          <w:szCs w:val="32"/>
        </w:rPr>
        <w:t>、经济发展办公室</w:t>
      </w:r>
      <w:r>
        <w:rPr>
          <w:rFonts w:hint="eastAsia" w:ascii="仿宋_GB2312" w:hAnsi="仿宋_GB2312" w:eastAsia="仿宋_GB2312" w:cs="仿宋_GB2312"/>
          <w:sz w:val="32"/>
          <w:szCs w:val="32"/>
          <w:lang w:eastAsia="zh-CN"/>
        </w:rPr>
        <w:t>、边境事务协调办公室（生态环境和自然资源办公室）</w:t>
      </w:r>
      <w:r>
        <w:rPr>
          <w:rFonts w:hint="eastAsia" w:ascii="仿宋_GB2312" w:hAnsi="仿宋_GB2312" w:eastAsia="仿宋_GB2312" w:cs="仿宋_GB2312"/>
          <w:sz w:val="32"/>
          <w:szCs w:val="32"/>
        </w:rPr>
        <w:t>。</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副科级事业单位4个，即：</w:t>
      </w:r>
      <w:r>
        <w:rPr>
          <w:rFonts w:hint="eastAsia" w:ascii="仿宋_GB2312" w:hAnsi="仿宋_GB2312" w:eastAsia="仿宋_GB2312" w:cs="仿宋_GB2312"/>
          <w:sz w:val="32"/>
          <w:szCs w:val="32"/>
          <w:lang w:eastAsia="zh-CN"/>
        </w:rPr>
        <w:t>便民服务中心（退役军人服务站）、农牧综合服务中心、文化服务中心、卫生院</w:t>
      </w:r>
      <w:r>
        <w:rPr>
          <w:rFonts w:hint="eastAsia" w:ascii="仿宋_GB2312" w:hAnsi="仿宋_GB2312" w:eastAsia="仿宋_GB2312" w:cs="仿宋_GB2312"/>
          <w:sz w:val="32"/>
          <w:szCs w:val="32"/>
        </w:rPr>
        <w:t>。</w:t>
      </w:r>
    </w:p>
    <w:p>
      <w:pPr>
        <w:spacing w:line="360" w:lineRule="auto"/>
        <w:ind w:firstLine="640" w:firstLineChars="200"/>
        <w:rPr>
          <w:rFonts w:hint="eastAsia" w:ascii="仿宋_GB2312" w:hAnsi="仿宋_GB2312" w:eastAsia="仿宋_GB2312" w:cs="仿宋_GB2312"/>
          <w:sz w:val="32"/>
          <w:szCs w:val="32"/>
        </w:rPr>
      </w:pPr>
    </w:p>
    <w:p>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21"/>
      <w:bookmarkEnd w:id="22"/>
      <w:bookmarkEnd w:id="23"/>
      <w:bookmarkEnd w:id="24"/>
      <w:bookmarkEnd w:id="25"/>
      <w:bookmarkEnd w:id="26"/>
    </w:p>
    <w:p>
      <w:pPr>
        <w:spacing w:line="578" w:lineRule="exact"/>
        <w:ind w:firstLine="645"/>
        <w:rPr>
          <w:rFonts w:hint="eastAsia" w:ascii="黑体" w:hAnsi="黑体" w:eastAsia="黑体" w:cs="黑体"/>
          <w:sz w:val="32"/>
          <w:szCs w:val="32"/>
        </w:rPr>
      </w:pPr>
    </w:p>
    <w:p>
      <w:pPr>
        <w:numPr>
          <w:ilvl w:val="0"/>
          <w:numId w:val="3"/>
        </w:num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收入支出决算公开表</w:t>
      </w:r>
      <w:bookmarkEnd w:id="27"/>
      <w:bookmarkEnd w:id="28"/>
      <w:bookmarkEnd w:id="29"/>
      <w:bookmarkEnd w:id="30"/>
      <w:bookmarkEnd w:id="31"/>
      <w:bookmarkEnd w:id="32"/>
    </w:p>
    <w:p>
      <w:pPr>
        <w:spacing w:line="578" w:lineRule="exact"/>
        <w:ind w:firstLine="645"/>
        <w:rPr>
          <w:rFonts w:hint="eastAsia" w:ascii="黑体" w:hAnsi="黑体" w:eastAsia="黑体" w:cs="黑体"/>
          <w:sz w:val="32"/>
          <w:szCs w:val="32"/>
        </w:rPr>
      </w:pPr>
      <w:bookmarkStart w:id="33" w:name="_Toc14349_WPSOffice_Level2"/>
      <w:bookmarkStart w:id="34" w:name="_Toc25608_WPSOffice_Level2"/>
      <w:bookmarkStart w:id="35" w:name="_Toc23139_WPSOffice_Level2"/>
      <w:bookmarkStart w:id="36" w:name="_Toc28622_WPSOffice_Level2"/>
      <w:bookmarkStart w:id="37" w:name="_Toc26621_WPSOffice_Level2"/>
      <w:bookmarkStart w:id="38" w:name="_Toc30334_WPSOffice_Level2"/>
      <w:r>
        <w:rPr>
          <w:rFonts w:hint="eastAsia" w:ascii="黑体" w:hAnsi="黑体" w:eastAsia="黑体" w:cs="黑体"/>
          <w:sz w:val="32"/>
          <w:szCs w:val="32"/>
        </w:rPr>
        <w:t>二、收入决算公开表</w:t>
      </w:r>
      <w:bookmarkEnd w:id="33"/>
      <w:bookmarkEnd w:id="34"/>
      <w:bookmarkEnd w:id="35"/>
      <w:bookmarkEnd w:id="36"/>
      <w:bookmarkEnd w:id="37"/>
      <w:bookmarkEnd w:id="38"/>
      <w:bookmarkStart w:id="39" w:name="_Toc17858_WPSOffice_Level2"/>
      <w:bookmarkStart w:id="40" w:name="_Toc17626_WPSOffice_Level2"/>
      <w:bookmarkStart w:id="41" w:name="_Toc14658_WPSOffice_Level2"/>
      <w:bookmarkStart w:id="42" w:name="_Toc3262_WPSOffice_Level2"/>
      <w:bookmarkStart w:id="43" w:name="_Toc5489_WPSOffice_Level2"/>
      <w:bookmarkStart w:id="44" w:name="_Toc13854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9"/>
      <w:bookmarkEnd w:id="40"/>
      <w:bookmarkEnd w:id="41"/>
      <w:bookmarkEnd w:id="42"/>
      <w:bookmarkEnd w:id="43"/>
      <w:bookmarkEnd w:id="44"/>
      <w:bookmarkStart w:id="45" w:name="_Toc4265_WPSOffice_Level2"/>
      <w:bookmarkStart w:id="46" w:name="_Toc7988_WPSOffice_Level2"/>
      <w:bookmarkStart w:id="47" w:name="_Toc23493_WPSOffice_Level2"/>
      <w:bookmarkStart w:id="48" w:name="_Toc13701_WPSOffice_Level2"/>
      <w:bookmarkStart w:id="49" w:name="_Toc23591_WPSOffice_Level2"/>
      <w:bookmarkStart w:id="50" w:name="_Toc21415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5"/>
      <w:bookmarkEnd w:id="46"/>
      <w:bookmarkEnd w:id="47"/>
      <w:bookmarkEnd w:id="48"/>
      <w:bookmarkEnd w:id="49"/>
      <w:bookmarkEnd w:id="50"/>
    </w:p>
    <w:p>
      <w:pPr>
        <w:spacing w:line="578" w:lineRule="exact"/>
        <w:ind w:firstLine="645"/>
        <w:rPr>
          <w:rFonts w:hint="eastAsia" w:ascii="黑体" w:hAnsi="黑体" w:eastAsia="黑体" w:cs="黑体"/>
          <w:sz w:val="32"/>
          <w:szCs w:val="32"/>
        </w:rPr>
      </w:pPr>
      <w:bookmarkStart w:id="51" w:name="_Toc25166_WPSOffice_Level2"/>
      <w:bookmarkStart w:id="52" w:name="_Toc7879_WPSOffice_Level2"/>
      <w:bookmarkStart w:id="53" w:name="_Toc23829_WPSOffice_Level2"/>
      <w:bookmarkStart w:id="54" w:name="_Toc22783_WPSOffice_Level2"/>
      <w:bookmarkStart w:id="55" w:name="_Toc2158_WPSOffice_Level2"/>
      <w:bookmarkStart w:id="56" w:name="_Toc13516_WPSOffice_Level2"/>
      <w:r>
        <w:rPr>
          <w:rFonts w:hint="eastAsia" w:ascii="黑体" w:hAnsi="黑体" w:eastAsia="黑体" w:cs="黑体"/>
          <w:sz w:val="32"/>
          <w:szCs w:val="32"/>
        </w:rPr>
        <w:t>五、一般公共预算财政拨款收入支出决算</w:t>
      </w:r>
      <w:bookmarkEnd w:id="51"/>
      <w:bookmarkEnd w:id="52"/>
      <w:bookmarkEnd w:id="53"/>
      <w:bookmarkEnd w:id="54"/>
      <w:r>
        <w:rPr>
          <w:rFonts w:hint="eastAsia" w:ascii="黑体" w:hAnsi="黑体" w:eastAsia="黑体" w:cs="黑体"/>
          <w:sz w:val="32"/>
          <w:szCs w:val="32"/>
        </w:rPr>
        <w:t>公开表</w:t>
      </w:r>
      <w:bookmarkEnd w:id="55"/>
      <w:bookmarkEnd w:id="56"/>
      <w:bookmarkStart w:id="57" w:name="_Toc25362_WPSOffice_Level2"/>
      <w:bookmarkStart w:id="58" w:name="_Toc17833_WPSOffice_Level2"/>
      <w:bookmarkStart w:id="59" w:name="_Toc8373_WPSOffice_Level2"/>
      <w:bookmarkStart w:id="60" w:name="_Toc5343_WPSOffice_Level2"/>
      <w:bookmarkStart w:id="61" w:name="_Toc2632_WPSOffice_Level2"/>
      <w:bookmarkStart w:id="62" w:name="_Toc17283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7"/>
      <w:bookmarkEnd w:id="58"/>
      <w:bookmarkEnd w:id="59"/>
      <w:bookmarkEnd w:id="60"/>
      <w:bookmarkEnd w:id="61"/>
      <w:bookmarkEnd w:id="62"/>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3" w:name="_Toc5594_WPSOffice_Level2"/>
      <w:bookmarkStart w:id="64" w:name="_Toc6020_WPSOffice_Level2"/>
      <w:bookmarkStart w:id="65" w:name="_Toc13345_WPSOffice_Level2"/>
      <w:bookmarkStart w:id="66" w:name="_Toc11799_WPSOffice_Level2"/>
      <w:bookmarkStart w:id="67" w:name="_Toc1533_WPSOffice_Level2"/>
      <w:bookmarkStart w:id="68" w:name="_Toc21310_WPSOffice_Level2"/>
      <w:r>
        <w:rPr>
          <w:rFonts w:hint="eastAsia" w:ascii="黑体" w:hAnsi="黑体" w:eastAsia="黑体" w:cs="黑体"/>
          <w:sz w:val="32"/>
          <w:szCs w:val="32"/>
        </w:rPr>
        <w:t>七、政府性基金预算财政拨款收入支出决算</w:t>
      </w:r>
      <w:bookmarkEnd w:id="63"/>
      <w:bookmarkEnd w:id="64"/>
      <w:bookmarkEnd w:id="65"/>
      <w:bookmarkEnd w:id="66"/>
      <w:bookmarkEnd w:id="67"/>
      <w:bookmarkEnd w:id="68"/>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9" w:name="_Toc1820_WPSOffice_Level2"/>
      <w:bookmarkStart w:id="70" w:name="_Toc9377_WPSOffice_Level2"/>
      <w:bookmarkStart w:id="71" w:name="_Toc29886_WPSOffice_Level2"/>
      <w:bookmarkStart w:id="72" w:name="_Toc19961_WPSOffice_Level2"/>
      <w:r>
        <w:rPr>
          <w:rFonts w:hint="eastAsia" w:ascii="黑体" w:hAnsi="黑体" w:eastAsia="黑体" w:cs="黑体"/>
          <w:sz w:val="32"/>
          <w:szCs w:val="32"/>
        </w:rPr>
        <w:t>九、财政拨款“三公”经费支出决算</w:t>
      </w:r>
      <w:bookmarkEnd w:id="69"/>
      <w:bookmarkEnd w:id="70"/>
      <w:bookmarkEnd w:id="71"/>
      <w:bookmarkEnd w:id="72"/>
      <w:r>
        <w:rPr>
          <w:rFonts w:hint="eastAsia" w:ascii="黑体" w:hAnsi="黑体" w:eastAsia="黑体" w:cs="黑体"/>
          <w:sz w:val="32"/>
          <w:szCs w:val="32"/>
        </w:rPr>
        <w:t>公开表</w:t>
      </w:r>
    </w:p>
    <w:p>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73" w:name="_Toc31264_WPSOffice_Level1"/>
      <w:bookmarkStart w:id="74" w:name="_Toc4402_WPSOffice_Level1"/>
      <w:bookmarkStart w:id="75" w:name="_Toc28629_WPSOffice_Level1"/>
      <w:bookmarkStart w:id="76" w:name="_Toc27590_WPSOffice_Level1"/>
      <w:bookmarkStart w:id="77" w:name="_Toc29683_WPSOffice_Level1"/>
      <w:bookmarkStart w:id="78" w:name="_Toc16686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3"/>
      <w:bookmarkEnd w:id="74"/>
      <w:bookmarkEnd w:id="75"/>
      <w:bookmarkEnd w:id="76"/>
      <w:bookmarkEnd w:id="77"/>
      <w:bookmarkEnd w:id="78"/>
    </w:p>
    <w:p>
      <w:pPr>
        <w:spacing w:line="578" w:lineRule="exact"/>
        <w:jc w:val="center"/>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年度收入总</w:t>
      </w:r>
      <w:r>
        <w:rPr>
          <w:rFonts w:hint="eastAsia" w:ascii="仿宋_GB2312" w:hAnsi="ˎ̥" w:eastAsia="仿宋_GB2312"/>
          <w:color w:val="000000" w:themeColor="text1"/>
          <w:sz w:val="32"/>
          <w:szCs w:val="32"/>
          <w14:textFill>
            <w14:solidFill>
              <w14:schemeClr w14:val="tx1"/>
            </w14:solidFill>
          </w14:textFill>
        </w:rPr>
        <w:t>计</w:t>
      </w:r>
      <w:r>
        <w:rPr>
          <w:rFonts w:hint="default" w:ascii="仿宋_GB2312" w:hAnsi="ˎ̥" w:eastAsia="仿宋_GB2312"/>
          <w:color w:val="000000" w:themeColor="text1"/>
          <w:sz w:val="32"/>
          <w:szCs w:val="32"/>
          <w:lang w:val="en-US"/>
          <w14:textFill>
            <w14:solidFill>
              <w14:schemeClr w14:val="tx1"/>
            </w14:solidFill>
          </w14:textFill>
        </w:rPr>
        <w:t>2,413.05</w:t>
      </w:r>
      <w:r>
        <w:rPr>
          <w:rFonts w:hint="eastAsia" w:ascii="仿宋_GB2312" w:hAnsi="ˎ̥" w:eastAsia="仿宋_GB2312"/>
          <w:color w:val="000000" w:themeColor="text1"/>
          <w:sz w:val="32"/>
          <w:szCs w:val="32"/>
          <w14:textFill>
            <w14:solidFill>
              <w14:schemeClr w14:val="tx1"/>
            </w14:solidFill>
          </w14:textFill>
        </w:rPr>
        <w:t>万元，支出总计</w:t>
      </w:r>
      <w:r>
        <w:rPr>
          <w:rFonts w:hint="default" w:ascii="仿宋_GB2312" w:hAnsi="ˎ̥" w:eastAsia="仿宋_GB2312"/>
          <w:color w:val="000000" w:themeColor="text1"/>
          <w:sz w:val="32"/>
          <w:szCs w:val="32"/>
          <w:lang w:val="en-US"/>
          <w14:textFill>
            <w14:solidFill>
              <w14:schemeClr w14:val="tx1"/>
            </w14:solidFill>
          </w14:textFill>
        </w:rPr>
        <w:t>2,413.05</w:t>
      </w:r>
      <w:r>
        <w:rPr>
          <w:rFonts w:hint="eastAsia" w:ascii="仿宋_GB2312" w:hAnsi="ˎ̥" w:eastAsia="仿宋_GB2312"/>
          <w:color w:val="000000" w:themeColor="text1"/>
          <w:sz w:val="32"/>
          <w:szCs w:val="32"/>
          <w14:textFill>
            <w14:solidFill>
              <w14:schemeClr w14:val="tx1"/>
            </w14:solidFill>
          </w14:textFill>
        </w:rPr>
        <w:t>万元，与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年度相比，收入、支出总计各增加</w:t>
      </w:r>
      <w:r>
        <w:rPr>
          <w:rFonts w:hint="eastAsia" w:ascii="仿宋_GB2312" w:hAnsi="ˎ̥" w:eastAsia="仿宋_GB2312"/>
          <w:color w:val="000000" w:themeColor="text1"/>
          <w:sz w:val="32"/>
          <w:szCs w:val="32"/>
          <w:lang w:val="en-US" w:eastAsia="zh-CN"/>
          <w14:textFill>
            <w14:solidFill>
              <w14:schemeClr w14:val="tx1"/>
            </w14:solidFill>
          </w14:textFill>
        </w:rPr>
        <w:t>100.87</w:t>
      </w:r>
      <w:r>
        <w:rPr>
          <w:rFonts w:hint="eastAsia" w:ascii="仿宋_GB2312" w:hAnsi="ˎ̥" w:eastAsia="仿宋_GB2312"/>
          <w:color w:val="000000" w:themeColor="text1"/>
          <w:sz w:val="32"/>
          <w:szCs w:val="32"/>
          <w14:textFill>
            <w14:solidFill>
              <w14:schemeClr w14:val="tx1"/>
            </w14:solidFill>
          </w14:textFill>
        </w:rPr>
        <w:t>万元，增</w:t>
      </w:r>
      <w:r>
        <w:rPr>
          <w:rFonts w:hint="eastAsia" w:ascii="仿宋_GB2312" w:hAnsi="ˎ̥" w:eastAsia="仿宋_GB2312"/>
          <w:sz w:val="32"/>
          <w:szCs w:val="32"/>
        </w:rPr>
        <w:t>长</w:t>
      </w:r>
      <w:r>
        <w:rPr>
          <w:rFonts w:hint="eastAsia" w:ascii="仿宋_GB2312" w:hAnsi="ˎ̥" w:eastAsia="仿宋_GB2312"/>
          <w:sz w:val="32"/>
          <w:szCs w:val="32"/>
          <w:lang w:val="en-US" w:eastAsia="zh-CN"/>
        </w:rPr>
        <w:t>4.36</w:t>
      </w:r>
      <w:r>
        <w:rPr>
          <w:rFonts w:hint="eastAsia" w:ascii="仿宋_GB2312" w:hAnsi="ˎ̥" w:eastAsia="仿宋_GB2312"/>
          <w:sz w:val="32"/>
          <w:szCs w:val="32"/>
        </w:rPr>
        <w:t>%。主要原因：</w:t>
      </w:r>
      <w:r>
        <w:rPr>
          <w:rFonts w:ascii="仿宋" w:hAnsi="仿宋" w:eastAsia="仿宋" w:cs="仿宋"/>
          <w:spacing w:val="1"/>
          <w:sz w:val="31"/>
          <w:szCs w:val="31"/>
        </w:rPr>
        <w:t>公共服务</w:t>
      </w:r>
      <w:r>
        <w:rPr>
          <w:rFonts w:ascii="仿宋" w:hAnsi="仿宋" w:eastAsia="仿宋" w:cs="仿宋"/>
          <w:spacing w:val="5"/>
          <w:sz w:val="31"/>
          <w:szCs w:val="31"/>
        </w:rPr>
        <w:t>等方面</w:t>
      </w:r>
      <w:r>
        <w:rPr>
          <w:rFonts w:hint="eastAsia" w:ascii="仿宋" w:hAnsi="仿宋" w:eastAsia="仿宋" w:cs="仿宋"/>
          <w:spacing w:val="5"/>
          <w:sz w:val="31"/>
          <w:szCs w:val="31"/>
          <w:lang w:eastAsia="zh-CN"/>
        </w:rPr>
        <w:t>支出</w:t>
      </w:r>
      <w:r>
        <w:rPr>
          <w:rFonts w:ascii="仿宋" w:hAnsi="仿宋" w:eastAsia="仿宋" w:cs="仿宋"/>
          <w:spacing w:val="5"/>
          <w:sz w:val="31"/>
          <w:szCs w:val="31"/>
        </w:rPr>
        <w:t>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ˎ̥" w:eastAsia="仿宋_GB2312"/>
          <w:sz w:val="32"/>
          <w:szCs w:val="32"/>
        </w:rPr>
      </w:pPr>
      <w:r>
        <w:drawing>
          <wp:inline distT="0" distB="0" distL="114300" distR="114300">
            <wp:extent cx="4572000" cy="2743200"/>
            <wp:effectExtent l="4445" t="4445" r="14605" b="14605"/>
            <wp:docPr id="4672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w:t>
      </w:r>
      <w:r>
        <w:rPr>
          <w:rFonts w:ascii="仿宋_GB2312" w:hAnsi="ˎ̥" w:eastAsia="仿宋_GB2312"/>
          <w:color w:val="000000" w:themeColor="text1"/>
          <w:sz w:val="32"/>
          <w:szCs w:val="32"/>
          <w14:textFill>
            <w14:solidFill>
              <w14:schemeClr w14:val="tx1"/>
            </w14:solidFill>
          </w14:textFill>
        </w:rPr>
        <w:t>收入</w:t>
      </w:r>
      <w:r>
        <w:rPr>
          <w:rFonts w:hint="default" w:ascii="仿宋_GB2312" w:hAnsi="ˎ̥" w:eastAsia="仿宋_GB2312"/>
          <w:color w:val="000000" w:themeColor="text1"/>
          <w:sz w:val="32"/>
          <w:szCs w:val="32"/>
          <w:lang w:val="en-US"/>
          <w14:textFill>
            <w14:solidFill>
              <w14:schemeClr w14:val="tx1"/>
            </w14:solidFill>
          </w14:textFill>
        </w:rPr>
        <w:t>2,245.06</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使用非财政拨款结余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年度决算数增加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年初结转结余</w:t>
      </w:r>
      <w:r>
        <w:rPr>
          <w:rFonts w:hint="default" w:ascii="仿宋_GB2312" w:hAnsi="ˎ̥" w:eastAsia="仿宋_GB2312"/>
          <w:color w:val="000000" w:themeColor="text1"/>
          <w:sz w:val="32"/>
          <w:szCs w:val="32"/>
          <w:lang w:val="en-US"/>
          <w14:textFill>
            <w14:solidFill>
              <w14:schemeClr w14:val="tx1"/>
            </w14:solidFill>
          </w14:textFill>
        </w:rPr>
        <w:t>167.99</w:t>
      </w:r>
      <w:r>
        <w:rPr>
          <w:rFonts w:hint="eastAsia" w:ascii="仿宋_GB2312" w:hAnsi="ˎ̥" w:eastAsia="仿宋_GB2312"/>
          <w:color w:val="000000" w:themeColor="text1"/>
          <w:sz w:val="32"/>
          <w:szCs w:val="32"/>
          <w14:textFill>
            <w14:solidFill>
              <w14:schemeClr w14:val="tx1"/>
            </w14:solidFill>
          </w14:textFill>
        </w:rPr>
        <w:t>万元，主要是</w:t>
      </w:r>
      <w:r>
        <w:rPr>
          <w:rFonts w:hint="eastAsia" w:ascii="仿宋" w:hAnsi="仿宋" w:eastAsia="仿宋" w:cs="仿宋"/>
          <w:color w:val="000000" w:themeColor="text1"/>
          <w:spacing w:val="6"/>
          <w:sz w:val="31"/>
          <w:szCs w:val="31"/>
          <w:lang w:eastAsia="zh-CN"/>
          <w14:textFill>
            <w14:solidFill>
              <w14:schemeClr w14:val="tx1"/>
            </w14:solidFill>
          </w14:textFill>
        </w:rPr>
        <w:t>墨脱县格当乡人民政府</w:t>
      </w:r>
      <w:r>
        <w:rPr>
          <w:rFonts w:ascii="仿宋" w:hAnsi="仿宋" w:eastAsia="仿宋" w:cs="仿宋"/>
          <w:color w:val="000000" w:themeColor="text1"/>
          <w:spacing w:val="6"/>
          <w:sz w:val="31"/>
          <w:szCs w:val="31"/>
          <w14:textFill>
            <w14:solidFill>
              <w14:schemeClr w14:val="tx1"/>
            </w14:solidFill>
          </w14:textFill>
        </w:rPr>
        <w:t>机</w:t>
      </w:r>
      <w:r>
        <w:rPr>
          <w:rFonts w:ascii="仿宋" w:hAnsi="仿宋" w:eastAsia="仿宋" w:cs="仿宋"/>
          <w:color w:val="000000" w:themeColor="text1"/>
          <w:spacing w:val="13"/>
          <w:sz w:val="31"/>
          <w:szCs w:val="31"/>
          <w14:textFill>
            <w14:solidFill>
              <w14:schemeClr w14:val="tx1"/>
            </w14:solidFill>
          </w14:textFill>
        </w:rPr>
        <w:t>关以前年度支出结转到本年仍按原规定用途继续</w:t>
      </w:r>
      <w:r>
        <w:rPr>
          <w:rFonts w:ascii="仿宋" w:hAnsi="仿宋" w:eastAsia="仿宋" w:cs="仿宋"/>
          <w:color w:val="000000" w:themeColor="text1"/>
          <w:spacing w:val="12"/>
          <w:sz w:val="31"/>
          <w:szCs w:val="31"/>
          <w14:textFill>
            <w14:solidFill>
              <w14:schemeClr w14:val="tx1"/>
            </w14:solidFill>
          </w14:textFill>
        </w:rPr>
        <w:t>使用</w:t>
      </w:r>
      <w:r>
        <w:rPr>
          <w:rFonts w:ascii="仿宋" w:hAnsi="仿宋" w:eastAsia="仿宋" w:cs="仿宋"/>
          <w:color w:val="000000" w:themeColor="text1"/>
          <w:spacing w:val="7"/>
          <w:sz w:val="31"/>
          <w:szCs w:val="31"/>
          <w14:textFill>
            <w14:solidFill>
              <w14:schemeClr w14:val="tx1"/>
            </w14:solidFill>
          </w14:textFill>
        </w:rPr>
        <w:t>的资金。</w:t>
      </w:r>
      <w:r>
        <w:rPr>
          <w:rFonts w:hint="eastAsia" w:ascii="仿宋_GB2312" w:hAnsi="ˎ̥" w:eastAsia="仿宋_GB2312"/>
          <w:color w:val="000000" w:themeColor="text1"/>
          <w:sz w:val="32"/>
          <w:szCs w:val="32"/>
          <w14:textFill>
            <w14:solidFill>
              <w14:schemeClr w14:val="tx1"/>
            </w14:solidFill>
          </w14:textFill>
        </w:rPr>
        <w:t>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年度决算数增加</w:t>
      </w:r>
      <w:r>
        <w:rPr>
          <w:rFonts w:hint="eastAsia" w:ascii="仿宋_GB2312" w:hAnsi="ˎ̥" w:eastAsia="仿宋_GB2312"/>
          <w:color w:val="000000" w:themeColor="text1"/>
          <w:sz w:val="32"/>
          <w:szCs w:val="32"/>
          <w:lang w:val="en-US" w:eastAsia="zh-CN"/>
          <w14:textFill>
            <w14:solidFill>
              <w14:schemeClr w14:val="tx1"/>
            </w14:solidFill>
          </w14:textFill>
        </w:rPr>
        <w:t>94.73</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129.31</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eastAsia="zh-CN"/>
          <w14:textFill>
            <w14:solidFill>
              <w14:schemeClr w14:val="tx1"/>
            </w14:solidFill>
          </w14:textFill>
        </w:rPr>
        <w:t>年末部分项目因未验收完工，所以结余数较上年增加</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本年支出</w:t>
      </w:r>
      <w:r>
        <w:rPr>
          <w:rFonts w:hint="default" w:ascii="仿宋_GB2312" w:hAnsi="ˎ̥" w:eastAsia="仿宋_GB2312"/>
          <w:color w:val="000000" w:themeColor="text1"/>
          <w:sz w:val="32"/>
          <w:szCs w:val="32"/>
          <w:lang w:val="en-US"/>
          <w14:textFill>
            <w14:solidFill>
              <w14:schemeClr w14:val="tx1"/>
            </w14:solidFill>
          </w14:textFill>
        </w:rPr>
        <w:t>2,413.05</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结余分配</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年度决算数增加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color w:val="000000" w:themeColor="text1"/>
          <w:sz w:val="32"/>
          <w:szCs w:val="32"/>
          <w14:textFill>
            <w14:solidFill>
              <w14:schemeClr w14:val="tx1"/>
            </w14:solidFill>
          </w14:textFill>
        </w:rPr>
        <w:t>年末结转结余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w:t>
      </w:r>
      <w:r>
        <w:rPr>
          <w:rFonts w:hint="eastAsia" w:ascii="仿宋_GB2312" w:hAnsi="ˎ̥" w:eastAsia="仿宋_GB2312"/>
          <w:sz w:val="32"/>
          <w:szCs w:val="32"/>
        </w:rPr>
        <w:t>元，较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eastAsia" w:ascii="仿宋_GB2312" w:hAnsi="ˎ̥" w:eastAsia="仿宋_GB2312"/>
          <w:sz w:val="32"/>
          <w:szCs w:val="32"/>
          <w:lang w:val="en-US" w:eastAsia="zh-CN"/>
        </w:rPr>
        <w:t>0</w:t>
      </w:r>
      <w:r>
        <w:rPr>
          <w:rFonts w:hint="eastAsia" w:ascii="仿宋_GB2312" w:hAnsi="ˎ̥" w:eastAsia="仿宋_GB2312"/>
          <w:sz w:val="32"/>
          <w:szCs w:val="32"/>
        </w:rPr>
        <w:t>万元，增长</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default" w:ascii="仿宋_GB2312" w:hAnsi="ˎ̥" w:eastAsia="仿宋_GB2312"/>
          <w:sz w:val="32"/>
          <w:szCs w:val="32"/>
          <w:lang w:val="en"/>
        </w:rPr>
        <w:t xml:space="preserve">    </w:t>
      </w: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default" w:ascii="仿宋_GB2312" w:hAnsi="ˎ̥" w:eastAsia="仿宋_GB2312"/>
          <w:sz w:val="32"/>
          <w:szCs w:val="32"/>
          <w:lang w:val="en"/>
        </w:rPr>
        <w:t xml:space="preserve">    </w:t>
      </w:r>
      <w:r>
        <w:rPr>
          <w:rFonts w:hint="eastAsia" w:ascii="仿宋_GB2312" w:hAnsi="ˎ̥" w:eastAsia="仿宋_GB2312"/>
          <w:color w:val="000000" w:themeColor="text1"/>
          <w:sz w:val="32"/>
          <w:szCs w:val="32"/>
          <w14:textFill>
            <w14:solidFill>
              <w14:schemeClr w14:val="tx1"/>
            </w14:solidFill>
          </w14:textFill>
        </w:rPr>
        <w:t>本年收入</w:t>
      </w:r>
      <w:r>
        <w:rPr>
          <w:rFonts w:hint="default" w:ascii="仿宋_GB2312" w:hAnsi="ˎ̥" w:eastAsia="仿宋_GB2312"/>
          <w:color w:val="000000" w:themeColor="text1"/>
          <w:sz w:val="32"/>
          <w:szCs w:val="32"/>
          <w:lang w:val="en-US"/>
          <w14:textFill>
            <w14:solidFill>
              <w14:schemeClr w14:val="tx1"/>
            </w14:solidFill>
          </w14:textFill>
        </w:rPr>
        <w:t>2,245.06</w:t>
      </w:r>
      <w:r>
        <w:rPr>
          <w:rFonts w:hint="eastAsia" w:ascii="仿宋_GB2312" w:hAnsi="ˎ̥" w:eastAsia="仿宋_GB2312"/>
          <w:color w:val="000000" w:themeColor="text1"/>
          <w:sz w:val="32"/>
          <w:szCs w:val="32"/>
          <w14:textFill>
            <w14:solidFill>
              <w14:schemeClr w14:val="tx1"/>
            </w14:solidFill>
          </w14:textFill>
        </w:rPr>
        <w:t>万元，其中：财政拨款收入</w:t>
      </w:r>
      <w:r>
        <w:rPr>
          <w:rFonts w:hint="default" w:ascii="仿宋_GB2312" w:hAnsi="ˎ̥" w:eastAsia="仿宋_GB2312"/>
          <w:color w:val="000000" w:themeColor="text1"/>
          <w:sz w:val="32"/>
          <w:szCs w:val="32"/>
          <w:lang w:val="en-US"/>
          <w14:textFill>
            <w14:solidFill>
              <w14:schemeClr w14:val="tx1"/>
            </w14:solidFill>
          </w14:textFill>
        </w:rPr>
        <w:t>2,245.06</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%；上级补助收入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%；事业收入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%；经营收入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%；附属单位上缴收入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%；其他收入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sz w:val="32"/>
          <w:szCs w:val="32"/>
        </w:rPr>
      </w:pPr>
      <w:r>
        <w:rPr>
          <w:rFonts w:hint="eastAsia" w:ascii="仿宋_GB2312" w:hAnsi="ˎ̥"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ˎ̥" w:eastAsia="仿宋_GB2312"/>
          <w:sz w:val="32"/>
          <w:szCs w:val="32"/>
        </w:rPr>
      </w:pPr>
      <w:r>
        <w:drawing>
          <wp:inline distT="0" distB="0" distL="114300" distR="114300">
            <wp:extent cx="4825365" cy="2743835"/>
            <wp:effectExtent l="4445" t="4445" r="8890" b="13970"/>
            <wp:docPr id="4673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本年支出</w:t>
      </w:r>
      <w:r>
        <w:rPr>
          <w:rFonts w:hint="default" w:ascii="仿宋_GB2312" w:hAnsi="ˎ̥" w:eastAsia="仿宋_GB2312"/>
          <w:color w:val="000000" w:themeColor="text1"/>
          <w:sz w:val="32"/>
          <w:szCs w:val="32"/>
          <w:lang w:val="en-US"/>
          <w14:textFill>
            <w14:solidFill>
              <w14:schemeClr w14:val="tx1"/>
            </w14:solidFill>
          </w14:textFill>
        </w:rPr>
        <w:t>2,413.05</w:t>
      </w:r>
      <w:r>
        <w:rPr>
          <w:rFonts w:hint="eastAsia" w:ascii="仿宋_GB2312" w:hAnsi="ˎ̥" w:eastAsia="仿宋_GB2312"/>
          <w:color w:val="000000" w:themeColor="text1"/>
          <w:sz w:val="32"/>
          <w:szCs w:val="32"/>
          <w14:textFill>
            <w14:solidFill>
              <w14:schemeClr w14:val="tx1"/>
            </w14:solidFill>
          </w14:textFill>
        </w:rPr>
        <w:t>万元，其中：基本支出</w:t>
      </w:r>
      <w:r>
        <w:rPr>
          <w:rFonts w:hint="default" w:ascii="仿宋_GB2312" w:hAnsi="ˎ̥" w:eastAsia="仿宋_GB2312"/>
          <w:color w:val="000000" w:themeColor="text1"/>
          <w:sz w:val="32"/>
          <w:szCs w:val="32"/>
          <w:lang w:val="en-US"/>
          <w14:textFill>
            <w14:solidFill>
              <w14:schemeClr w14:val="tx1"/>
            </w14:solidFill>
          </w14:textFill>
        </w:rPr>
        <w:t>1,601.08</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66.35</w:t>
      </w:r>
      <w:r>
        <w:rPr>
          <w:rFonts w:hint="eastAsia" w:ascii="仿宋_GB2312" w:hAnsi="ˎ̥" w:eastAsia="仿宋_GB2312"/>
          <w:color w:val="000000" w:themeColor="text1"/>
          <w:sz w:val="32"/>
          <w:szCs w:val="32"/>
          <w14:textFill>
            <w14:solidFill>
              <w14:schemeClr w14:val="tx1"/>
            </w14:solidFill>
          </w14:textFill>
        </w:rPr>
        <w:t>%；项目支出</w:t>
      </w:r>
      <w:r>
        <w:rPr>
          <w:rFonts w:hint="default" w:ascii="仿宋_GB2312" w:hAnsi="ˎ̥" w:eastAsia="仿宋_GB2312"/>
          <w:color w:val="000000" w:themeColor="text1"/>
          <w:sz w:val="32"/>
          <w:szCs w:val="32"/>
          <w:lang w:val="en-US"/>
          <w14:textFill>
            <w14:solidFill>
              <w14:schemeClr w14:val="tx1"/>
            </w14:solidFill>
          </w14:textFill>
        </w:rPr>
        <w:t>811.97</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33.65</w:t>
      </w:r>
      <w:r>
        <w:rPr>
          <w:rFonts w:hint="eastAsia" w:ascii="仿宋_GB2312" w:hAnsi="ˎ̥" w:eastAsia="仿宋_GB2312"/>
          <w:color w:val="000000" w:themeColor="text1"/>
          <w:sz w:val="32"/>
          <w:szCs w:val="32"/>
          <w14:textFill>
            <w14:solidFill>
              <w14:schemeClr w14:val="tx1"/>
            </w14:solidFill>
          </w14:textFill>
        </w:rPr>
        <w:t>%；上缴上级支出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%；经营支出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%；对附属单位补助支出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Cs/>
          <w:sz w:val="32"/>
          <w:szCs w:val="32"/>
        </w:rPr>
      </w:pPr>
      <w:r>
        <w:drawing>
          <wp:inline distT="0" distB="0" distL="114300" distR="114300">
            <wp:extent cx="4896485" cy="2819400"/>
            <wp:effectExtent l="4445" t="4445" r="13970" b="14605"/>
            <wp:docPr id="4672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年度财政拨款收入</w:t>
      </w:r>
      <w:r>
        <w:rPr>
          <w:rFonts w:hint="default" w:ascii="仿宋_GB2312" w:hAnsi="ˎ̥" w:eastAsia="仿宋_GB2312"/>
          <w:color w:val="000000" w:themeColor="text1"/>
          <w:sz w:val="32"/>
          <w:szCs w:val="32"/>
          <w:lang w:val="en-US"/>
          <w14:textFill>
            <w14:solidFill>
              <w14:schemeClr w14:val="tx1"/>
            </w14:solidFill>
          </w14:textFill>
        </w:rPr>
        <w:t>2,245.06</w:t>
      </w:r>
      <w:r>
        <w:rPr>
          <w:rFonts w:hint="eastAsia" w:ascii="仿宋_GB2312" w:hAnsi="ˎ̥" w:eastAsia="仿宋_GB2312"/>
          <w:color w:val="000000" w:themeColor="text1"/>
          <w:sz w:val="32"/>
          <w:szCs w:val="32"/>
          <w14:textFill>
            <w14:solidFill>
              <w14:schemeClr w14:val="tx1"/>
            </w14:solidFill>
          </w14:textFill>
        </w:rPr>
        <w:t>万元，支出</w:t>
      </w:r>
      <w:r>
        <w:rPr>
          <w:rFonts w:hint="default" w:ascii="仿宋_GB2312" w:hAnsi="ˎ̥" w:eastAsia="仿宋_GB2312"/>
          <w:color w:val="000000" w:themeColor="text1"/>
          <w:sz w:val="32"/>
          <w:szCs w:val="32"/>
          <w:lang w:val="en-US"/>
          <w14:textFill>
            <w14:solidFill>
              <w14:schemeClr w14:val="tx1"/>
            </w14:solidFill>
          </w14:textFill>
        </w:rPr>
        <w:t>2,413.05</w:t>
      </w:r>
      <w:r>
        <w:rPr>
          <w:rFonts w:hint="eastAsia" w:ascii="仿宋_GB2312" w:hAnsi="ˎ̥" w:eastAsia="仿宋_GB2312"/>
          <w:color w:val="000000" w:themeColor="text1"/>
          <w:sz w:val="32"/>
          <w:szCs w:val="32"/>
          <w14:textFill>
            <w14:solidFill>
              <w14:schemeClr w14:val="tx1"/>
            </w14:solidFill>
          </w14:textFill>
        </w:rPr>
        <w:t>万元。与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年度相比，财政拨款收入增加</w:t>
      </w:r>
      <w:r>
        <w:rPr>
          <w:rFonts w:hint="eastAsia" w:ascii="仿宋_GB2312" w:hAnsi="ˎ̥" w:eastAsia="仿宋_GB2312"/>
          <w:color w:val="000000" w:themeColor="text1"/>
          <w:sz w:val="32"/>
          <w:szCs w:val="32"/>
          <w:lang w:val="en-US" w:eastAsia="zh-CN"/>
          <w14:textFill>
            <w14:solidFill>
              <w14:schemeClr w14:val="tx1"/>
            </w14:solidFill>
          </w14:textFill>
        </w:rPr>
        <w:t>6.14</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0.27</w:t>
      </w:r>
      <w:r>
        <w:rPr>
          <w:rFonts w:hint="eastAsia" w:ascii="仿宋_GB2312" w:hAnsi="ˎ̥" w:eastAsia="仿宋_GB2312"/>
          <w:color w:val="000000" w:themeColor="text1"/>
          <w:sz w:val="32"/>
          <w:szCs w:val="32"/>
          <w14:textFill>
            <w14:solidFill>
              <w14:schemeClr w14:val="tx1"/>
            </w14:solidFill>
          </w14:textFill>
        </w:rPr>
        <w:t>%，主要原因：</w:t>
      </w:r>
      <w:r>
        <w:rPr>
          <w:rFonts w:ascii="仿宋" w:hAnsi="仿宋" w:eastAsia="仿宋" w:cs="仿宋"/>
          <w:color w:val="000000" w:themeColor="text1"/>
          <w:spacing w:val="1"/>
          <w:sz w:val="31"/>
          <w:szCs w:val="31"/>
          <w14:textFill>
            <w14:solidFill>
              <w14:schemeClr w14:val="tx1"/>
            </w14:solidFill>
          </w14:textFill>
        </w:rPr>
        <w:t>公共服务</w:t>
      </w:r>
      <w:r>
        <w:rPr>
          <w:rFonts w:ascii="仿宋" w:hAnsi="仿宋" w:eastAsia="仿宋" w:cs="仿宋"/>
          <w:color w:val="000000" w:themeColor="text1"/>
          <w:spacing w:val="5"/>
          <w:sz w:val="31"/>
          <w:szCs w:val="31"/>
          <w14:textFill>
            <w14:solidFill>
              <w14:schemeClr w14:val="tx1"/>
            </w14:solidFill>
          </w14:textFill>
        </w:rPr>
        <w:t>等方面</w:t>
      </w:r>
      <w:r>
        <w:rPr>
          <w:rFonts w:hint="eastAsia" w:ascii="仿宋" w:hAnsi="仿宋" w:eastAsia="仿宋" w:cs="仿宋"/>
          <w:color w:val="000000" w:themeColor="text1"/>
          <w:spacing w:val="5"/>
          <w:sz w:val="31"/>
          <w:szCs w:val="31"/>
          <w:lang w:eastAsia="zh-CN"/>
          <w14:textFill>
            <w14:solidFill>
              <w14:schemeClr w14:val="tx1"/>
            </w14:solidFill>
          </w14:textFill>
        </w:rPr>
        <w:t>支出</w:t>
      </w:r>
      <w:r>
        <w:rPr>
          <w:rFonts w:ascii="仿宋" w:hAnsi="仿宋" w:eastAsia="仿宋" w:cs="仿宋"/>
          <w:color w:val="000000" w:themeColor="text1"/>
          <w:spacing w:val="5"/>
          <w:sz w:val="31"/>
          <w:szCs w:val="31"/>
          <w14:textFill>
            <w14:solidFill>
              <w14:schemeClr w14:val="tx1"/>
            </w14:solidFill>
          </w14:textFill>
        </w:rPr>
        <w:t>增加</w:t>
      </w:r>
      <w:r>
        <w:rPr>
          <w:rFonts w:hint="eastAsia" w:ascii="仿宋_GB2312" w:hAnsi="ˎ̥" w:eastAsia="仿宋_GB2312"/>
          <w:color w:val="000000" w:themeColor="text1"/>
          <w:sz w:val="32"/>
          <w:szCs w:val="32"/>
          <w14:textFill>
            <w14:solidFill>
              <w14:schemeClr w14:val="tx1"/>
            </w14:solidFill>
          </w14:textFill>
        </w:rPr>
        <w:t>。支出增加</w:t>
      </w:r>
      <w:r>
        <w:rPr>
          <w:rFonts w:hint="eastAsia" w:ascii="仿宋_GB2312" w:hAnsi="ˎ̥" w:eastAsia="仿宋_GB2312"/>
          <w:color w:val="000000" w:themeColor="text1"/>
          <w:sz w:val="32"/>
          <w:szCs w:val="32"/>
          <w:lang w:val="en-US" w:eastAsia="zh-CN"/>
          <w14:textFill>
            <w14:solidFill>
              <w14:schemeClr w14:val="tx1"/>
            </w14:solidFill>
          </w14:textFill>
        </w:rPr>
        <w:t>100.87</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4.36</w:t>
      </w:r>
      <w:r>
        <w:rPr>
          <w:rFonts w:hint="eastAsia" w:ascii="仿宋_GB2312" w:hAnsi="ˎ̥" w:eastAsia="仿宋_GB2312"/>
          <w:color w:val="000000" w:themeColor="text1"/>
          <w:sz w:val="32"/>
          <w:szCs w:val="32"/>
          <w14:textFill>
            <w14:solidFill>
              <w14:schemeClr w14:val="tx1"/>
            </w14:solidFill>
          </w14:textFill>
        </w:rPr>
        <w:t>%，主要原因：</w:t>
      </w:r>
      <w:r>
        <w:rPr>
          <w:rFonts w:ascii="仿宋" w:hAnsi="仿宋" w:eastAsia="仿宋" w:cs="仿宋"/>
          <w:color w:val="000000" w:themeColor="text1"/>
          <w:spacing w:val="1"/>
          <w:sz w:val="31"/>
          <w:szCs w:val="31"/>
          <w14:textFill>
            <w14:solidFill>
              <w14:schemeClr w14:val="tx1"/>
            </w14:solidFill>
          </w14:textFill>
        </w:rPr>
        <w:t>公共服务</w:t>
      </w:r>
      <w:r>
        <w:rPr>
          <w:rFonts w:ascii="仿宋" w:hAnsi="仿宋" w:eastAsia="仿宋" w:cs="仿宋"/>
          <w:color w:val="000000" w:themeColor="text1"/>
          <w:spacing w:val="5"/>
          <w:sz w:val="31"/>
          <w:szCs w:val="31"/>
          <w14:textFill>
            <w14:solidFill>
              <w14:schemeClr w14:val="tx1"/>
            </w14:solidFill>
          </w14:textFill>
        </w:rPr>
        <w:t>等方面</w:t>
      </w:r>
      <w:r>
        <w:rPr>
          <w:rFonts w:hint="eastAsia" w:ascii="仿宋" w:hAnsi="仿宋" w:eastAsia="仿宋" w:cs="仿宋"/>
          <w:color w:val="000000" w:themeColor="text1"/>
          <w:spacing w:val="5"/>
          <w:sz w:val="31"/>
          <w:szCs w:val="31"/>
          <w:lang w:eastAsia="zh-CN"/>
          <w14:textFill>
            <w14:solidFill>
              <w14:schemeClr w14:val="tx1"/>
            </w14:solidFill>
          </w14:textFill>
        </w:rPr>
        <w:t>支出</w:t>
      </w:r>
      <w:r>
        <w:rPr>
          <w:rFonts w:ascii="仿宋" w:hAnsi="仿宋" w:eastAsia="仿宋" w:cs="仿宋"/>
          <w:color w:val="000000" w:themeColor="text1"/>
          <w:spacing w:val="5"/>
          <w:sz w:val="31"/>
          <w:szCs w:val="31"/>
          <w14:textFill>
            <w14:solidFill>
              <w14:schemeClr w14:val="tx1"/>
            </w14:solidFill>
          </w14:textFill>
        </w:rPr>
        <w:t>增加</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ˎ̥" w:eastAsia="仿宋_GB2312"/>
          <w:color w:val="000000" w:themeColor="text1"/>
          <w:sz w:val="32"/>
          <w:szCs w:val="32"/>
          <w14:textFill>
            <w14:solidFill>
              <w14:schemeClr w14:val="tx1"/>
            </w14:solidFill>
          </w14:textFill>
        </w:rPr>
      </w:pPr>
      <w:r>
        <w:drawing>
          <wp:inline distT="0" distB="0" distL="114300" distR="114300">
            <wp:extent cx="4572000" cy="2894965"/>
            <wp:effectExtent l="4445" t="4445" r="14605" b="15240"/>
            <wp:docPr id="4672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财政拨款年初结转结余</w:t>
      </w:r>
      <w:r>
        <w:rPr>
          <w:rFonts w:hint="default" w:ascii="仿宋_GB2312" w:hAnsi="ˎ̥" w:eastAsia="仿宋_GB2312"/>
          <w:color w:val="000000" w:themeColor="text1"/>
          <w:sz w:val="32"/>
          <w:szCs w:val="32"/>
          <w:lang w:val="en-US"/>
          <w14:textFill>
            <w14:solidFill>
              <w14:schemeClr w14:val="tx1"/>
            </w14:solidFill>
          </w14:textFill>
        </w:rPr>
        <w:t>167.99</w:t>
      </w:r>
      <w:r>
        <w:rPr>
          <w:rFonts w:hint="eastAsia" w:ascii="仿宋_GB2312" w:hAnsi="ˎ̥" w:eastAsia="仿宋_GB2312"/>
          <w:color w:val="000000" w:themeColor="text1"/>
          <w:sz w:val="32"/>
          <w:szCs w:val="32"/>
          <w14:textFill>
            <w14:solidFill>
              <w14:schemeClr w14:val="tx1"/>
            </w14:solidFill>
          </w14:textFill>
        </w:rPr>
        <w:t>万元，主要是</w:t>
      </w:r>
      <w:r>
        <w:rPr>
          <w:rFonts w:hint="eastAsia" w:ascii="仿宋" w:hAnsi="仿宋" w:eastAsia="仿宋" w:cs="仿宋"/>
          <w:color w:val="000000" w:themeColor="text1"/>
          <w:spacing w:val="6"/>
          <w:sz w:val="31"/>
          <w:szCs w:val="31"/>
          <w:lang w:eastAsia="zh-CN"/>
          <w14:textFill>
            <w14:solidFill>
              <w14:schemeClr w14:val="tx1"/>
            </w14:solidFill>
          </w14:textFill>
        </w:rPr>
        <w:t>墨脱县格当乡人民政府</w:t>
      </w:r>
      <w:r>
        <w:rPr>
          <w:rFonts w:ascii="仿宋" w:hAnsi="仿宋" w:eastAsia="仿宋" w:cs="仿宋"/>
          <w:color w:val="000000" w:themeColor="text1"/>
          <w:spacing w:val="6"/>
          <w:sz w:val="31"/>
          <w:szCs w:val="31"/>
          <w14:textFill>
            <w14:solidFill>
              <w14:schemeClr w14:val="tx1"/>
            </w14:solidFill>
          </w14:textFill>
        </w:rPr>
        <w:t>机</w:t>
      </w:r>
      <w:r>
        <w:rPr>
          <w:rFonts w:ascii="仿宋" w:hAnsi="仿宋" w:eastAsia="仿宋" w:cs="仿宋"/>
          <w:color w:val="000000" w:themeColor="text1"/>
          <w:spacing w:val="13"/>
          <w:sz w:val="31"/>
          <w:szCs w:val="31"/>
          <w14:textFill>
            <w14:solidFill>
              <w14:schemeClr w14:val="tx1"/>
            </w14:solidFill>
          </w14:textFill>
        </w:rPr>
        <w:t>关以前年度支出结转到本年仍按原规定用途继续</w:t>
      </w:r>
      <w:r>
        <w:rPr>
          <w:rFonts w:ascii="仿宋" w:hAnsi="仿宋" w:eastAsia="仿宋" w:cs="仿宋"/>
          <w:color w:val="000000" w:themeColor="text1"/>
          <w:spacing w:val="12"/>
          <w:sz w:val="31"/>
          <w:szCs w:val="31"/>
          <w14:textFill>
            <w14:solidFill>
              <w14:schemeClr w14:val="tx1"/>
            </w14:solidFill>
          </w14:textFill>
        </w:rPr>
        <w:t>使用</w:t>
      </w:r>
      <w:r>
        <w:rPr>
          <w:rFonts w:ascii="仿宋" w:hAnsi="仿宋" w:eastAsia="仿宋" w:cs="仿宋"/>
          <w:color w:val="000000" w:themeColor="text1"/>
          <w:spacing w:val="7"/>
          <w:sz w:val="31"/>
          <w:szCs w:val="31"/>
          <w14:textFill>
            <w14:solidFill>
              <w14:schemeClr w14:val="tx1"/>
            </w14:solidFill>
          </w14:textFill>
        </w:rPr>
        <w:t>的资金。</w:t>
      </w:r>
      <w:r>
        <w:rPr>
          <w:rFonts w:hint="eastAsia" w:ascii="仿宋_GB2312" w:hAnsi="ˎ̥" w:eastAsia="仿宋_GB2312"/>
          <w:color w:val="000000" w:themeColor="text1"/>
          <w:sz w:val="32"/>
          <w:szCs w:val="32"/>
          <w14:textFill>
            <w14:solidFill>
              <w14:schemeClr w14:val="tx1"/>
            </w14:solidFill>
          </w14:textFill>
        </w:rPr>
        <w:t>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年度决算数增加</w:t>
      </w:r>
      <w:r>
        <w:rPr>
          <w:rFonts w:hint="eastAsia" w:ascii="仿宋_GB2312" w:hAnsi="ˎ̥" w:eastAsia="仿宋_GB2312"/>
          <w:color w:val="000000" w:themeColor="text1"/>
          <w:sz w:val="32"/>
          <w:szCs w:val="32"/>
          <w:lang w:val="en-US" w:eastAsia="zh-CN"/>
          <w14:textFill>
            <w14:solidFill>
              <w14:schemeClr w14:val="tx1"/>
            </w14:solidFill>
          </w14:textFill>
        </w:rPr>
        <w:t>94.73</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129.31</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eastAsia="zh-CN"/>
          <w14:textFill>
            <w14:solidFill>
              <w14:schemeClr w14:val="tx1"/>
            </w14:solidFill>
          </w14:textFill>
        </w:rPr>
        <w:t>年末部分项目因未验收完工，所以结余数较上年增加</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财政拨款年末结转结余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年度决算数增加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9" w:name="_Toc23005_WPSOffice_Level2"/>
      <w:bookmarkStart w:id="80" w:name="_Toc21737_WPSOffice_Level2"/>
      <w:bookmarkStart w:id="81" w:name="_Toc9989_WPSOffice_Level2"/>
      <w:bookmarkStart w:id="82" w:name="_Toc13694_WPSOffice_Level2"/>
      <w:bookmarkStart w:id="83" w:name="_Toc17398_WPSOffice_Level2"/>
      <w:bookmarkStart w:id="84" w:name="_Toc19665_WPSOffice_Level2"/>
      <w:r>
        <w:rPr>
          <w:rFonts w:hint="eastAsia" w:ascii="楷体" w:hAnsi="楷体" w:eastAsia="楷体" w:cs="楷体"/>
          <w:sz w:val="32"/>
          <w:szCs w:val="32"/>
        </w:rPr>
        <w:t>（一）一般公共预算财政拨款支出决算总体情况</w:t>
      </w:r>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w:t>
      </w:r>
      <w:r>
        <w:rPr>
          <w:rFonts w:hint="default" w:ascii="仿宋_GB2312" w:hAnsi="ˎ̥" w:eastAsia="仿宋_GB2312"/>
          <w:color w:val="000000" w:themeColor="text1"/>
          <w:sz w:val="32"/>
          <w:szCs w:val="32"/>
          <w:lang w:val="en-US"/>
          <w14:textFill>
            <w14:solidFill>
              <w14:schemeClr w14:val="tx1"/>
            </w14:solidFill>
          </w14:textFill>
        </w:rPr>
        <w:t>2,413.05</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年度相比，一般公共预算财政拨款支出增加</w:t>
      </w:r>
      <w:r>
        <w:rPr>
          <w:rFonts w:hint="eastAsia" w:ascii="仿宋_GB2312" w:hAnsi="ˎ̥" w:eastAsia="仿宋_GB2312"/>
          <w:color w:val="000000" w:themeColor="text1"/>
          <w:sz w:val="32"/>
          <w:szCs w:val="32"/>
          <w:lang w:val="en-US" w:eastAsia="zh-CN"/>
          <w14:textFill>
            <w14:solidFill>
              <w14:schemeClr w14:val="tx1"/>
            </w14:solidFill>
          </w14:textFill>
        </w:rPr>
        <w:t>100.87</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4.36</w:t>
      </w:r>
      <w:r>
        <w:rPr>
          <w:rFonts w:hint="eastAsia" w:ascii="仿宋_GB2312" w:hAnsi="ˎ̥" w:eastAsia="仿宋_GB2312"/>
          <w:color w:val="000000" w:themeColor="text1"/>
          <w:sz w:val="32"/>
          <w:szCs w:val="32"/>
          <w14:textFill>
            <w14:solidFill>
              <w14:schemeClr w14:val="tx1"/>
            </w14:solidFill>
          </w14:textFill>
        </w:rPr>
        <w:t>%，主要原因是</w:t>
      </w:r>
      <w:r>
        <w:rPr>
          <w:rFonts w:ascii="仿宋" w:hAnsi="仿宋" w:eastAsia="仿宋" w:cs="仿宋"/>
          <w:color w:val="000000" w:themeColor="text1"/>
          <w:spacing w:val="1"/>
          <w:sz w:val="31"/>
          <w:szCs w:val="31"/>
          <w14:textFill>
            <w14:solidFill>
              <w14:schemeClr w14:val="tx1"/>
            </w14:solidFill>
          </w14:textFill>
        </w:rPr>
        <w:t>公共服务</w:t>
      </w:r>
      <w:r>
        <w:rPr>
          <w:rFonts w:ascii="仿宋" w:hAnsi="仿宋" w:eastAsia="仿宋" w:cs="仿宋"/>
          <w:color w:val="000000" w:themeColor="text1"/>
          <w:spacing w:val="5"/>
          <w:sz w:val="31"/>
          <w:szCs w:val="31"/>
          <w14:textFill>
            <w14:solidFill>
              <w14:schemeClr w14:val="tx1"/>
            </w14:solidFill>
          </w14:textFill>
        </w:rPr>
        <w:t>等方面</w:t>
      </w:r>
      <w:r>
        <w:rPr>
          <w:rFonts w:hint="eastAsia" w:ascii="仿宋" w:hAnsi="仿宋" w:eastAsia="仿宋" w:cs="仿宋"/>
          <w:color w:val="000000" w:themeColor="text1"/>
          <w:spacing w:val="5"/>
          <w:sz w:val="31"/>
          <w:szCs w:val="31"/>
          <w:lang w:eastAsia="zh-CN"/>
          <w14:textFill>
            <w14:solidFill>
              <w14:schemeClr w14:val="tx1"/>
            </w14:solidFill>
          </w14:textFill>
        </w:rPr>
        <w:t>支出</w:t>
      </w:r>
      <w:r>
        <w:rPr>
          <w:rFonts w:ascii="仿宋" w:hAnsi="仿宋" w:eastAsia="仿宋" w:cs="仿宋"/>
          <w:color w:val="000000" w:themeColor="text1"/>
          <w:spacing w:val="5"/>
          <w:sz w:val="31"/>
          <w:szCs w:val="31"/>
          <w14:textFill>
            <w14:solidFill>
              <w14:schemeClr w14:val="tx1"/>
            </w14:solidFill>
          </w14:textFill>
        </w:rPr>
        <w:t>增加</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32"/>
          <w:szCs w:val="32"/>
        </w:rPr>
      </w:pPr>
      <w:bookmarkStart w:id="85" w:name="_Toc2711_WPSOffice_Level2"/>
      <w:bookmarkStart w:id="86" w:name="_Toc19075_WPSOffice_Level2"/>
      <w:bookmarkStart w:id="87" w:name="_Toc19535_WPSOffice_Level2"/>
      <w:bookmarkStart w:id="88" w:name="_Toc23864_WPSOffice_Level2"/>
      <w:bookmarkStart w:id="89" w:name="_Toc27767_WPSOffice_Level2"/>
      <w:bookmarkStart w:id="90" w:name="_Toc18793_WPSOffice_Level2"/>
      <w:r>
        <w:drawing>
          <wp:inline distT="0" distB="0" distL="114300" distR="114300">
            <wp:extent cx="4572635" cy="2743200"/>
            <wp:effectExtent l="4445" t="4445" r="13970" b="14605"/>
            <wp:docPr id="46730"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（二）一般公共预算财政拨款支出决算结构情况</w:t>
      </w:r>
      <w:bookmarkEnd w:id="85"/>
      <w:bookmarkEnd w:id="86"/>
      <w:bookmarkEnd w:id="87"/>
      <w:bookmarkEnd w:id="88"/>
      <w:bookmarkEnd w:id="89"/>
      <w:bookmarkEnd w:id="9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w:t>
      </w:r>
      <w:r>
        <w:rPr>
          <w:rFonts w:hint="default" w:ascii="仿宋_GB2312" w:hAnsi="ˎ̥" w:eastAsia="仿宋_GB2312"/>
          <w:color w:val="000000" w:themeColor="text1"/>
          <w:sz w:val="32"/>
          <w:szCs w:val="32"/>
          <w:lang w:val="en-US"/>
          <w14:textFill>
            <w14:solidFill>
              <w14:schemeClr w14:val="tx1"/>
            </w14:solidFill>
          </w14:textFill>
        </w:rPr>
        <w:t>2,413.05</w:t>
      </w:r>
      <w:r>
        <w:rPr>
          <w:rFonts w:hint="eastAsia" w:ascii="仿宋_GB2312" w:hAnsi="ˎ̥" w:eastAsia="仿宋_GB2312"/>
          <w:color w:val="000000" w:themeColor="text1"/>
          <w:sz w:val="32"/>
          <w:szCs w:val="32"/>
          <w14:textFill>
            <w14:solidFill>
              <w14:schemeClr w14:val="tx1"/>
            </w14:solidFill>
          </w14:textFill>
        </w:rPr>
        <w:t>万元，主要用于以下方面：</w:t>
      </w:r>
      <w:r>
        <w:rPr>
          <w:rFonts w:hint="eastAsia" w:ascii="仿宋_GB2312" w:hAnsi="ˎ̥" w:eastAsia="仿宋_GB2312"/>
          <w:b/>
          <w:color w:val="000000" w:themeColor="text1"/>
          <w:sz w:val="32"/>
          <w:szCs w:val="32"/>
          <w14:textFill>
            <w14:solidFill>
              <w14:schemeClr w14:val="tx1"/>
            </w14:solidFill>
          </w14:textFill>
        </w:rPr>
        <w:t>一般公共服务（类）</w:t>
      </w:r>
      <w:r>
        <w:rPr>
          <w:rFonts w:hint="eastAsia" w:ascii="仿宋_GB2312" w:hAnsi="ˎ̥" w:eastAsia="仿宋_GB2312"/>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1,663.58</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68.94</w:t>
      </w:r>
      <w:r>
        <w:rPr>
          <w:rFonts w:hint="eastAsia" w:ascii="仿宋_GB2312" w:hAnsi="ˎ̥" w:eastAsia="仿宋_GB2312"/>
          <w:color w:val="000000" w:themeColor="text1"/>
          <w:sz w:val="32"/>
          <w:szCs w:val="32"/>
          <w14:textFill>
            <w14:solidFill>
              <w14:schemeClr w14:val="tx1"/>
            </w14:solidFill>
          </w14:textFill>
        </w:rPr>
        <w:t>%；</w:t>
      </w:r>
      <w:r>
        <w:rPr>
          <w:rFonts w:hint="eastAsia" w:ascii="仿宋" w:hAnsi="仿宋" w:eastAsia="仿宋" w:cs="仿宋"/>
          <w:b/>
          <w:bCs/>
          <w:color w:val="000000" w:themeColor="text1"/>
          <w:spacing w:val="6"/>
          <w:sz w:val="31"/>
          <w:szCs w:val="31"/>
          <w14:textFill>
            <w14:solidFill>
              <w14:schemeClr w14:val="tx1"/>
            </w14:solidFill>
          </w14:textFill>
        </w:rPr>
        <w:t>国防支出</w:t>
      </w:r>
      <w:r>
        <w:rPr>
          <w:rFonts w:ascii="仿宋" w:hAnsi="仿宋" w:eastAsia="仿宋" w:cs="仿宋"/>
          <w:b/>
          <w:bCs/>
          <w:color w:val="000000" w:themeColor="text1"/>
          <w:spacing w:val="6"/>
          <w:sz w:val="31"/>
          <w:szCs w:val="31"/>
          <w14:textFill>
            <w14:solidFill>
              <w14:schemeClr w14:val="tx1"/>
            </w14:solidFill>
          </w14:textFill>
        </w:rPr>
        <w:t>（类）</w:t>
      </w:r>
      <w:r>
        <w:rPr>
          <w:rFonts w:hint="eastAsia" w:ascii="仿宋" w:hAnsi="仿宋" w:eastAsia="仿宋" w:cs="仿宋"/>
          <w:color w:val="000000" w:themeColor="text1"/>
          <w:spacing w:val="6"/>
          <w:sz w:val="31"/>
          <w:szCs w:val="31"/>
          <w:lang w:val="en-US" w:eastAsia="zh-CN"/>
          <w14:textFill>
            <w14:solidFill>
              <w14:schemeClr w14:val="tx1"/>
            </w14:solidFill>
          </w14:textFill>
        </w:rPr>
        <w:t>2</w:t>
      </w:r>
      <w:r>
        <w:rPr>
          <w:rFonts w:ascii="仿宋" w:hAnsi="仿宋" w:eastAsia="仿宋" w:cs="仿宋"/>
          <w:color w:val="000000" w:themeColor="text1"/>
          <w:spacing w:val="-44"/>
          <w:sz w:val="31"/>
          <w:szCs w:val="31"/>
          <w14:textFill>
            <w14:solidFill>
              <w14:schemeClr w14:val="tx1"/>
            </w14:solidFill>
          </w14:textFill>
        </w:rPr>
        <w:t xml:space="preserve"> </w:t>
      </w:r>
      <w:r>
        <w:rPr>
          <w:rFonts w:ascii="仿宋" w:hAnsi="仿宋" w:eastAsia="仿宋" w:cs="仿宋"/>
          <w:color w:val="000000" w:themeColor="text1"/>
          <w:spacing w:val="6"/>
          <w:sz w:val="31"/>
          <w:szCs w:val="31"/>
          <w14:textFill>
            <w14:solidFill>
              <w14:schemeClr w14:val="tx1"/>
            </w14:solidFill>
          </w14:textFill>
        </w:rPr>
        <w:t>万元，</w:t>
      </w:r>
      <w:r>
        <w:rPr>
          <w:rFonts w:hint="eastAsia" w:ascii="仿宋_GB2312" w:hAnsi="ˎ̥" w:eastAsia="仿宋_GB2312"/>
          <w:color w:val="000000" w:themeColor="text1"/>
          <w:sz w:val="32"/>
          <w:szCs w:val="32"/>
          <w14:textFill>
            <w14:solidFill>
              <w14:schemeClr w14:val="tx1"/>
            </w14:solidFill>
          </w14:textFill>
        </w:rPr>
        <w:t>占</w:t>
      </w:r>
      <w:r>
        <w:rPr>
          <w:rFonts w:hint="eastAsia" w:ascii="仿宋_GB2312" w:hAnsi="ˎ̥" w:eastAsia="仿宋_GB2312"/>
          <w:color w:val="000000" w:themeColor="text1"/>
          <w:sz w:val="32"/>
          <w:szCs w:val="32"/>
          <w:lang w:val="en-US" w:eastAsia="zh-CN"/>
          <w14:textFill>
            <w14:solidFill>
              <w14:schemeClr w14:val="tx1"/>
            </w14:solidFill>
          </w14:textFill>
        </w:rPr>
        <w:t>0.08</w:t>
      </w:r>
      <w:r>
        <w:rPr>
          <w:rFonts w:hint="eastAsia" w:ascii="仿宋_GB2312" w:hAnsi="ˎ̥" w:eastAsia="仿宋_GB2312"/>
          <w:color w:val="000000" w:themeColor="text1"/>
          <w:sz w:val="32"/>
          <w:szCs w:val="32"/>
          <w14:textFill>
            <w14:solidFill>
              <w14:schemeClr w14:val="tx1"/>
            </w14:solidFill>
          </w14:textFill>
        </w:rPr>
        <w:t>%；</w:t>
      </w:r>
      <w:r>
        <w:rPr>
          <w:rFonts w:hint="eastAsia" w:ascii="仿宋" w:hAnsi="仿宋" w:eastAsia="仿宋" w:cs="仿宋"/>
          <w:b/>
          <w:bCs/>
          <w:color w:val="000000" w:themeColor="text1"/>
          <w:spacing w:val="5"/>
          <w:sz w:val="31"/>
          <w:szCs w:val="31"/>
          <w14:textFill>
            <w14:solidFill>
              <w14:schemeClr w14:val="tx1"/>
            </w14:solidFill>
          </w14:textFill>
        </w:rPr>
        <w:t>文化旅游体育与传媒支出</w:t>
      </w:r>
      <w:r>
        <w:rPr>
          <w:rFonts w:ascii="仿宋" w:hAnsi="仿宋" w:eastAsia="仿宋" w:cs="仿宋"/>
          <w:b/>
          <w:bCs/>
          <w:color w:val="000000" w:themeColor="text1"/>
          <w:spacing w:val="5"/>
          <w:sz w:val="31"/>
          <w:szCs w:val="31"/>
          <w14:textFill>
            <w14:solidFill>
              <w14:schemeClr w14:val="tx1"/>
            </w14:solidFill>
          </w14:textFill>
        </w:rPr>
        <w:t>（类）</w:t>
      </w:r>
      <w:r>
        <w:rPr>
          <w:rFonts w:hint="eastAsia" w:ascii="仿宋" w:hAnsi="仿宋" w:eastAsia="仿宋" w:cs="仿宋"/>
          <w:color w:val="000000" w:themeColor="text1"/>
          <w:spacing w:val="5"/>
          <w:sz w:val="31"/>
          <w:szCs w:val="31"/>
          <w:lang w:val="en-US" w:eastAsia="zh-CN"/>
          <w14:textFill>
            <w14:solidFill>
              <w14:schemeClr w14:val="tx1"/>
            </w14:solidFill>
          </w14:textFill>
        </w:rPr>
        <w:t>20.6</w:t>
      </w:r>
      <w:r>
        <w:rPr>
          <w:rFonts w:ascii="仿宋" w:hAnsi="仿宋" w:eastAsia="仿宋" w:cs="仿宋"/>
          <w:color w:val="000000" w:themeColor="text1"/>
          <w:spacing w:val="-42"/>
          <w:sz w:val="31"/>
          <w:szCs w:val="31"/>
          <w14:textFill>
            <w14:solidFill>
              <w14:schemeClr w14:val="tx1"/>
            </w14:solidFill>
          </w14:textFill>
        </w:rPr>
        <w:t xml:space="preserve"> </w:t>
      </w:r>
      <w:r>
        <w:rPr>
          <w:rFonts w:ascii="仿宋" w:hAnsi="仿宋" w:eastAsia="仿宋" w:cs="仿宋"/>
          <w:color w:val="000000" w:themeColor="text1"/>
          <w:spacing w:val="5"/>
          <w:sz w:val="31"/>
          <w:szCs w:val="31"/>
          <w14:textFill>
            <w14:solidFill>
              <w14:schemeClr w14:val="tx1"/>
            </w14:solidFill>
          </w14:textFill>
        </w:rPr>
        <w:t>万元</w:t>
      </w:r>
      <w:r>
        <w:rPr>
          <w:rFonts w:hint="eastAsia" w:ascii="仿宋" w:hAnsi="仿宋" w:eastAsia="仿宋" w:cs="仿宋"/>
          <w:color w:val="000000" w:themeColor="text1"/>
          <w:spacing w:val="5"/>
          <w:sz w:val="31"/>
          <w:szCs w:val="31"/>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占</w:t>
      </w:r>
      <w:r>
        <w:rPr>
          <w:rFonts w:hint="eastAsia" w:ascii="仿宋_GB2312" w:hAnsi="ˎ̥" w:eastAsia="仿宋_GB2312"/>
          <w:color w:val="000000" w:themeColor="text1"/>
          <w:sz w:val="32"/>
          <w:szCs w:val="32"/>
          <w:lang w:val="en-US" w:eastAsia="zh-CN"/>
          <w14:textFill>
            <w14:solidFill>
              <w14:schemeClr w14:val="tx1"/>
            </w14:solidFill>
          </w14:textFill>
        </w:rPr>
        <w:t>0.86</w:t>
      </w:r>
      <w:r>
        <w:rPr>
          <w:rFonts w:hint="eastAsia" w:ascii="仿宋_GB2312" w:hAnsi="ˎ̥" w:eastAsia="仿宋_GB2312"/>
          <w:color w:val="000000" w:themeColor="text1"/>
          <w:sz w:val="32"/>
          <w:szCs w:val="32"/>
          <w14:textFill>
            <w14:solidFill>
              <w14:schemeClr w14:val="tx1"/>
            </w14:solidFill>
          </w14:textFill>
        </w:rPr>
        <w:t>%；</w:t>
      </w:r>
      <w:r>
        <w:rPr>
          <w:rFonts w:ascii="仿宋" w:hAnsi="仿宋" w:eastAsia="仿宋" w:cs="仿宋"/>
          <w:b/>
          <w:bCs/>
          <w:color w:val="000000" w:themeColor="text1"/>
          <w:spacing w:val="6"/>
          <w:sz w:val="31"/>
          <w:szCs w:val="31"/>
          <w14:textFill>
            <w14:solidFill>
              <w14:schemeClr w14:val="tx1"/>
            </w14:solidFill>
          </w14:textFill>
        </w:rPr>
        <w:t>社会保障和就业支出（类）</w:t>
      </w:r>
      <w:r>
        <w:rPr>
          <w:rFonts w:hint="eastAsia" w:ascii="仿宋" w:hAnsi="仿宋" w:eastAsia="仿宋" w:cs="仿宋"/>
          <w:color w:val="000000" w:themeColor="text1"/>
          <w:spacing w:val="6"/>
          <w:sz w:val="31"/>
          <w:szCs w:val="31"/>
          <w:lang w:val="en-US" w:eastAsia="zh-CN"/>
          <w14:textFill>
            <w14:solidFill>
              <w14:schemeClr w14:val="tx1"/>
            </w14:solidFill>
          </w14:textFill>
        </w:rPr>
        <w:t>192.63</w:t>
      </w:r>
      <w:r>
        <w:rPr>
          <w:rFonts w:ascii="仿宋" w:hAnsi="仿宋" w:eastAsia="仿宋" w:cs="仿宋"/>
          <w:color w:val="000000" w:themeColor="text1"/>
          <w:spacing w:val="6"/>
          <w:sz w:val="31"/>
          <w:szCs w:val="31"/>
          <w14:textFill>
            <w14:solidFill>
              <w14:schemeClr w14:val="tx1"/>
            </w14:solidFill>
          </w14:textFill>
        </w:rPr>
        <w:t>万元</w:t>
      </w:r>
      <w:r>
        <w:rPr>
          <w:rFonts w:ascii="仿宋" w:hAnsi="仿宋" w:eastAsia="仿宋" w:cs="仿宋"/>
          <w:color w:val="000000" w:themeColor="text1"/>
          <w:spacing w:val="5"/>
          <w:sz w:val="31"/>
          <w:szCs w:val="31"/>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占</w:t>
      </w:r>
      <w:r>
        <w:rPr>
          <w:rFonts w:hint="eastAsia" w:ascii="仿宋_GB2312" w:hAnsi="ˎ̥" w:eastAsia="仿宋_GB2312"/>
          <w:color w:val="000000" w:themeColor="text1"/>
          <w:sz w:val="32"/>
          <w:szCs w:val="32"/>
          <w:lang w:val="en-US" w:eastAsia="zh-CN"/>
          <w14:textFill>
            <w14:solidFill>
              <w14:schemeClr w14:val="tx1"/>
            </w14:solidFill>
          </w14:textFill>
        </w:rPr>
        <w:t>7.98</w:t>
      </w:r>
      <w:r>
        <w:rPr>
          <w:rFonts w:hint="eastAsia" w:ascii="仿宋_GB2312" w:hAnsi="ˎ̥" w:eastAsia="仿宋_GB2312"/>
          <w:color w:val="000000" w:themeColor="text1"/>
          <w:sz w:val="32"/>
          <w:szCs w:val="32"/>
          <w14:textFill>
            <w14:solidFill>
              <w14:schemeClr w14:val="tx1"/>
            </w14:solidFill>
          </w14:textFill>
        </w:rPr>
        <w:t>%；</w:t>
      </w:r>
      <w:r>
        <w:rPr>
          <w:rFonts w:ascii="仿宋" w:hAnsi="仿宋" w:eastAsia="仿宋" w:cs="仿宋"/>
          <w:b/>
          <w:bCs/>
          <w:color w:val="000000" w:themeColor="text1"/>
          <w:spacing w:val="1"/>
          <w:sz w:val="31"/>
          <w:szCs w:val="31"/>
          <w14:textFill>
            <w14:solidFill>
              <w14:schemeClr w14:val="tx1"/>
            </w14:solidFill>
          </w14:textFill>
        </w:rPr>
        <w:t>卫生健康支出（类）</w:t>
      </w:r>
      <w:r>
        <w:rPr>
          <w:rFonts w:hint="eastAsia" w:ascii="仿宋" w:hAnsi="仿宋" w:eastAsia="仿宋" w:cs="仿宋"/>
          <w:color w:val="000000" w:themeColor="text1"/>
          <w:spacing w:val="1"/>
          <w:sz w:val="31"/>
          <w:szCs w:val="31"/>
          <w:lang w:val="en-US" w:eastAsia="zh-CN"/>
          <w14:textFill>
            <w14:solidFill>
              <w14:schemeClr w14:val="tx1"/>
            </w14:solidFill>
          </w14:textFill>
        </w:rPr>
        <w:t>113.5</w:t>
      </w:r>
      <w:r>
        <w:rPr>
          <w:rFonts w:ascii="仿宋" w:hAnsi="仿宋" w:eastAsia="仿宋" w:cs="仿宋"/>
          <w:color w:val="000000" w:themeColor="text1"/>
          <w:spacing w:val="1"/>
          <w:sz w:val="31"/>
          <w:szCs w:val="31"/>
          <w14:textFill>
            <w14:solidFill>
              <w14:schemeClr w14:val="tx1"/>
            </w14:solidFill>
          </w14:textFill>
        </w:rPr>
        <w:t>万元，</w:t>
      </w:r>
      <w:r>
        <w:rPr>
          <w:rFonts w:hint="eastAsia" w:ascii="仿宋_GB2312" w:hAnsi="ˎ̥" w:eastAsia="仿宋_GB2312"/>
          <w:color w:val="000000" w:themeColor="text1"/>
          <w:sz w:val="32"/>
          <w:szCs w:val="32"/>
          <w14:textFill>
            <w14:solidFill>
              <w14:schemeClr w14:val="tx1"/>
            </w14:solidFill>
          </w14:textFill>
        </w:rPr>
        <w:t>占</w:t>
      </w:r>
      <w:r>
        <w:rPr>
          <w:rFonts w:hint="eastAsia" w:ascii="仿宋_GB2312" w:hAnsi="ˎ̥" w:eastAsia="仿宋_GB2312"/>
          <w:color w:val="000000" w:themeColor="text1"/>
          <w:sz w:val="32"/>
          <w:szCs w:val="32"/>
          <w:lang w:val="en-US" w:eastAsia="zh-CN"/>
          <w14:textFill>
            <w14:solidFill>
              <w14:schemeClr w14:val="tx1"/>
            </w14:solidFill>
          </w14:textFill>
        </w:rPr>
        <w:t>4.71</w:t>
      </w:r>
      <w:r>
        <w:rPr>
          <w:rFonts w:hint="eastAsia" w:ascii="仿宋_GB2312" w:hAnsi="ˎ̥" w:eastAsia="仿宋_GB2312"/>
          <w:color w:val="000000" w:themeColor="text1"/>
          <w:sz w:val="32"/>
          <w:szCs w:val="32"/>
          <w14:textFill>
            <w14:solidFill>
              <w14:schemeClr w14:val="tx1"/>
            </w14:solidFill>
          </w14:textFill>
        </w:rPr>
        <w:t>%；</w:t>
      </w:r>
      <w:r>
        <w:rPr>
          <w:rFonts w:hint="eastAsia" w:ascii="仿宋" w:hAnsi="仿宋" w:eastAsia="仿宋" w:cs="仿宋"/>
          <w:b/>
          <w:bCs/>
          <w:color w:val="000000" w:themeColor="text1"/>
          <w:spacing w:val="1"/>
          <w:sz w:val="31"/>
          <w:szCs w:val="31"/>
          <w14:textFill>
            <w14:solidFill>
              <w14:schemeClr w14:val="tx1"/>
            </w14:solidFill>
          </w14:textFill>
        </w:rPr>
        <w:t>城乡社区支出</w:t>
      </w:r>
      <w:r>
        <w:rPr>
          <w:rFonts w:ascii="仿宋" w:hAnsi="仿宋" w:eastAsia="仿宋" w:cs="仿宋"/>
          <w:b/>
          <w:bCs/>
          <w:color w:val="000000" w:themeColor="text1"/>
          <w:spacing w:val="1"/>
          <w:sz w:val="31"/>
          <w:szCs w:val="31"/>
          <w14:textFill>
            <w14:solidFill>
              <w14:schemeClr w14:val="tx1"/>
            </w14:solidFill>
          </w14:textFill>
        </w:rPr>
        <w:t>（类）</w:t>
      </w:r>
      <w:r>
        <w:rPr>
          <w:rFonts w:hint="eastAsia" w:ascii="仿宋" w:hAnsi="仿宋" w:eastAsia="仿宋" w:cs="仿宋"/>
          <w:color w:val="000000" w:themeColor="text1"/>
          <w:spacing w:val="1"/>
          <w:sz w:val="31"/>
          <w:szCs w:val="31"/>
          <w:lang w:val="en-US" w:eastAsia="zh-CN"/>
          <w14:textFill>
            <w14:solidFill>
              <w14:schemeClr w14:val="tx1"/>
            </w14:solidFill>
          </w14:textFill>
        </w:rPr>
        <w:t>57.59</w:t>
      </w:r>
      <w:r>
        <w:rPr>
          <w:rFonts w:ascii="仿宋" w:hAnsi="仿宋" w:eastAsia="仿宋" w:cs="仿宋"/>
          <w:color w:val="000000" w:themeColor="text1"/>
          <w:spacing w:val="1"/>
          <w:sz w:val="31"/>
          <w:szCs w:val="31"/>
          <w14:textFill>
            <w14:solidFill>
              <w14:schemeClr w14:val="tx1"/>
            </w14:solidFill>
          </w14:textFill>
        </w:rPr>
        <w:t>万元，</w:t>
      </w:r>
      <w:r>
        <w:rPr>
          <w:rFonts w:hint="eastAsia" w:ascii="仿宋_GB2312" w:hAnsi="ˎ̥" w:eastAsia="仿宋_GB2312"/>
          <w:color w:val="000000" w:themeColor="text1"/>
          <w:sz w:val="32"/>
          <w:szCs w:val="32"/>
          <w14:textFill>
            <w14:solidFill>
              <w14:schemeClr w14:val="tx1"/>
            </w14:solidFill>
          </w14:textFill>
        </w:rPr>
        <w:t>占</w:t>
      </w:r>
      <w:r>
        <w:rPr>
          <w:rFonts w:hint="eastAsia" w:ascii="仿宋_GB2312" w:hAnsi="ˎ̥" w:eastAsia="仿宋_GB2312"/>
          <w:color w:val="000000" w:themeColor="text1"/>
          <w:sz w:val="32"/>
          <w:szCs w:val="32"/>
          <w:lang w:val="en-US" w:eastAsia="zh-CN"/>
          <w14:textFill>
            <w14:solidFill>
              <w14:schemeClr w14:val="tx1"/>
            </w14:solidFill>
          </w14:textFill>
        </w:rPr>
        <w:t>2.39</w:t>
      </w:r>
      <w:r>
        <w:rPr>
          <w:rFonts w:hint="eastAsia" w:ascii="仿宋_GB2312" w:hAnsi="ˎ̥" w:eastAsia="仿宋_GB2312"/>
          <w:color w:val="000000" w:themeColor="text1"/>
          <w:sz w:val="32"/>
          <w:szCs w:val="32"/>
          <w14:textFill>
            <w14:solidFill>
              <w14:schemeClr w14:val="tx1"/>
            </w14:solidFill>
          </w14:textFill>
        </w:rPr>
        <w:t>%；</w:t>
      </w:r>
      <w:r>
        <w:rPr>
          <w:rFonts w:hint="eastAsia" w:ascii="仿宋" w:hAnsi="仿宋" w:eastAsia="仿宋" w:cs="仿宋"/>
          <w:b/>
          <w:bCs/>
          <w:color w:val="000000" w:themeColor="text1"/>
          <w:spacing w:val="1"/>
          <w:sz w:val="31"/>
          <w:szCs w:val="31"/>
          <w14:textFill>
            <w14:solidFill>
              <w14:schemeClr w14:val="tx1"/>
            </w14:solidFill>
          </w14:textFill>
        </w:rPr>
        <w:t>农林水支出</w:t>
      </w:r>
      <w:r>
        <w:rPr>
          <w:rFonts w:ascii="仿宋" w:hAnsi="仿宋" w:eastAsia="仿宋" w:cs="仿宋"/>
          <w:b/>
          <w:bCs/>
          <w:color w:val="000000" w:themeColor="text1"/>
          <w:spacing w:val="1"/>
          <w:sz w:val="31"/>
          <w:szCs w:val="31"/>
          <w14:textFill>
            <w14:solidFill>
              <w14:schemeClr w14:val="tx1"/>
            </w14:solidFill>
          </w14:textFill>
        </w:rPr>
        <w:t>（类）</w:t>
      </w:r>
      <w:r>
        <w:rPr>
          <w:rFonts w:hint="eastAsia" w:ascii="仿宋" w:hAnsi="仿宋" w:eastAsia="仿宋" w:cs="仿宋"/>
          <w:color w:val="000000" w:themeColor="text1"/>
          <w:spacing w:val="1"/>
          <w:sz w:val="31"/>
          <w:szCs w:val="31"/>
          <w:lang w:val="en-US" w:eastAsia="zh-CN"/>
          <w14:textFill>
            <w14:solidFill>
              <w14:schemeClr w14:val="tx1"/>
            </w14:solidFill>
          </w14:textFill>
        </w:rPr>
        <w:t>134.82</w:t>
      </w:r>
      <w:r>
        <w:rPr>
          <w:rFonts w:ascii="仿宋" w:hAnsi="仿宋" w:eastAsia="仿宋" w:cs="仿宋"/>
          <w:color w:val="000000" w:themeColor="text1"/>
          <w:spacing w:val="1"/>
          <w:sz w:val="31"/>
          <w:szCs w:val="31"/>
          <w14:textFill>
            <w14:solidFill>
              <w14:schemeClr w14:val="tx1"/>
            </w14:solidFill>
          </w14:textFill>
        </w:rPr>
        <w:t>万元，</w:t>
      </w:r>
      <w:r>
        <w:rPr>
          <w:rFonts w:hint="eastAsia" w:ascii="仿宋_GB2312" w:hAnsi="ˎ̥" w:eastAsia="仿宋_GB2312"/>
          <w:color w:val="000000" w:themeColor="text1"/>
          <w:sz w:val="32"/>
          <w:szCs w:val="32"/>
          <w14:textFill>
            <w14:solidFill>
              <w14:schemeClr w14:val="tx1"/>
            </w14:solidFill>
          </w14:textFill>
        </w:rPr>
        <w:t>占</w:t>
      </w:r>
      <w:r>
        <w:rPr>
          <w:rFonts w:hint="eastAsia" w:ascii="仿宋_GB2312" w:hAnsi="ˎ̥" w:eastAsia="仿宋_GB2312"/>
          <w:color w:val="000000" w:themeColor="text1"/>
          <w:sz w:val="32"/>
          <w:szCs w:val="32"/>
          <w:lang w:val="en-US" w:eastAsia="zh-CN"/>
          <w14:textFill>
            <w14:solidFill>
              <w14:schemeClr w14:val="tx1"/>
            </w14:solidFill>
          </w14:textFill>
        </w:rPr>
        <w:t>5.59</w:t>
      </w:r>
      <w:r>
        <w:rPr>
          <w:rFonts w:hint="eastAsia" w:ascii="仿宋_GB2312" w:hAnsi="ˎ̥" w:eastAsia="仿宋_GB2312"/>
          <w:color w:val="000000" w:themeColor="text1"/>
          <w:sz w:val="32"/>
          <w:szCs w:val="32"/>
          <w14:textFill>
            <w14:solidFill>
              <w14:schemeClr w14:val="tx1"/>
            </w14:solidFill>
          </w14:textFill>
        </w:rPr>
        <w:t>%；</w:t>
      </w:r>
      <w:r>
        <w:rPr>
          <w:rFonts w:hint="eastAsia" w:ascii="仿宋" w:hAnsi="仿宋" w:eastAsia="仿宋" w:cs="仿宋"/>
          <w:b/>
          <w:bCs/>
          <w:color w:val="000000" w:themeColor="text1"/>
          <w:spacing w:val="1"/>
          <w:sz w:val="31"/>
          <w:szCs w:val="31"/>
          <w14:textFill>
            <w14:solidFill>
              <w14:schemeClr w14:val="tx1"/>
            </w14:solidFill>
          </w14:textFill>
        </w:rPr>
        <w:t>交通运输支出</w:t>
      </w:r>
      <w:r>
        <w:rPr>
          <w:rFonts w:ascii="仿宋" w:hAnsi="仿宋" w:eastAsia="仿宋" w:cs="仿宋"/>
          <w:b/>
          <w:bCs/>
          <w:color w:val="000000" w:themeColor="text1"/>
          <w:spacing w:val="1"/>
          <w:sz w:val="31"/>
          <w:szCs w:val="31"/>
          <w14:textFill>
            <w14:solidFill>
              <w14:schemeClr w14:val="tx1"/>
            </w14:solidFill>
          </w14:textFill>
        </w:rPr>
        <w:t>（类）</w:t>
      </w:r>
      <w:r>
        <w:rPr>
          <w:rFonts w:hint="eastAsia" w:ascii="仿宋" w:hAnsi="仿宋" w:eastAsia="仿宋" w:cs="仿宋"/>
          <w:color w:val="000000" w:themeColor="text1"/>
          <w:spacing w:val="1"/>
          <w:sz w:val="31"/>
          <w:szCs w:val="31"/>
          <w:lang w:val="en-US" w:eastAsia="zh-CN"/>
          <w14:textFill>
            <w14:solidFill>
              <w14:schemeClr w14:val="tx1"/>
            </w14:solidFill>
          </w14:textFill>
        </w:rPr>
        <w:t>24</w:t>
      </w:r>
      <w:r>
        <w:rPr>
          <w:rFonts w:ascii="仿宋" w:hAnsi="仿宋" w:eastAsia="仿宋" w:cs="仿宋"/>
          <w:color w:val="000000" w:themeColor="text1"/>
          <w:spacing w:val="1"/>
          <w:sz w:val="31"/>
          <w:szCs w:val="31"/>
          <w14:textFill>
            <w14:solidFill>
              <w14:schemeClr w14:val="tx1"/>
            </w14:solidFill>
          </w14:textFill>
        </w:rPr>
        <w:t>万元，</w:t>
      </w:r>
      <w:r>
        <w:rPr>
          <w:rFonts w:hint="eastAsia" w:ascii="仿宋_GB2312" w:hAnsi="ˎ̥" w:eastAsia="仿宋_GB2312"/>
          <w:color w:val="000000" w:themeColor="text1"/>
          <w:sz w:val="32"/>
          <w:szCs w:val="32"/>
          <w14:textFill>
            <w14:solidFill>
              <w14:schemeClr w14:val="tx1"/>
            </w14:solidFill>
          </w14:textFill>
        </w:rPr>
        <w:t>占</w:t>
      </w:r>
      <w:r>
        <w:rPr>
          <w:rFonts w:hint="eastAsia" w:ascii="仿宋_GB2312" w:hAnsi="ˎ̥" w:eastAsia="仿宋_GB2312"/>
          <w:color w:val="000000" w:themeColor="text1"/>
          <w:sz w:val="32"/>
          <w:szCs w:val="32"/>
          <w:lang w:val="en-US" w:eastAsia="zh-CN"/>
          <w14:textFill>
            <w14:solidFill>
              <w14:schemeClr w14:val="tx1"/>
            </w14:solidFill>
          </w14:textFill>
        </w:rPr>
        <w:t>0.99</w:t>
      </w:r>
      <w:r>
        <w:rPr>
          <w:rFonts w:hint="eastAsia" w:ascii="仿宋_GB2312" w:hAnsi="ˎ̥" w:eastAsia="仿宋_GB2312"/>
          <w:color w:val="000000" w:themeColor="text1"/>
          <w:sz w:val="32"/>
          <w:szCs w:val="32"/>
          <w14:textFill>
            <w14:solidFill>
              <w14:schemeClr w14:val="tx1"/>
            </w14:solidFill>
          </w14:textFill>
        </w:rPr>
        <w:t>%；</w:t>
      </w:r>
      <w:r>
        <w:rPr>
          <w:rFonts w:ascii="仿宋" w:hAnsi="仿宋" w:eastAsia="仿宋" w:cs="仿宋"/>
          <w:b/>
          <w:bCs/>
          <w:color w:val="000000" w:themeColor="text1"/>
          <w:spacing w:val="1"/>
          <w:sz w:val="31"/>
          <w:szCs w:val="31"/>
          <w14:textFill>
            <w14:solidFill>
              <w14:schemeClr w14:val="tx1"/>
            </w14:solidFill>
          </w14:textFill>
        </w:rPr>
        <w:t>住房保障支出（类）</w:t>
      </w:r>
      <w:r>
        <w:rPr>
          <w:rFonts w:hint="eastAsia" w:ascii="仿宋" w:hAnsi="仿宋" w:eastAsia="仿宋" w:cs="仿宋"/>
          <w:color w:val="000000" w:themeColor="text1"/>
          <w:spacing w:val="1"/>
          <w:sz w:val="31"/>
          <w:szCs w:val="31"/>
          <w:lang w:val="en-US" w:eastAsia="zh-CN"/>
          <w14:textFill>
            <w14:solidFill>
              <w14:schemeClr w14:val="tx1"/>
            </w14:solidFill>
          </w14:textFill>
        </w:rPr>
        <w:t>193.14</w:t>
      </w:r>
      <w:r>
        <w:rPr>
          <w:rFonts w:ascii="仿宋" w:hAnsi="仿宋" w:eastAsia="仿宋" w:cs="仿宋"/>
          <w:color w:val="000000" w:themeColor="text1"/>
          <w:spacing w:val="1"/>
          <w:sz w:val="31"/>
          <w:szCs w:val="31"/>
          <w14:textFill>
            <w14:solidFill>
              <w14:schemeClr w14:val="tx1"/>
            </w14:solidFill>
          </w14:textFill>
        </w:rPr>
        <w:t>万元，</w:t>
      </w:r>
      <w:r>
        <w:rPr>
          <w:rFonts w:hint="eastAsia" w:ascii="仿宋_GB2312" w:hAnsi="ˎ̥" w:eastAsia="仿宋_GB2312"/>
          <w:color w:val="000000" w:themeColor="text1"/>
          <w:sz w:val="32"/>
          <w:szCs w:val="32"/>
          <w14:textFill>
            <w14:solidFill>
              <w14:schemeClr w14:val="tx1"/>
            </w14:solidFill>
          </w14:textFill>
        </w:rPr>
        <w:t>占</w:t>
      </w:r>
      <w:r>
        <w:rPr>
          <w:rFonts w:hint="eastAsia" w:ascii="仿宋_GB2312" w:hAnsi="ˎ̥" w:eastAsia="仿宋_GB2312"/>
          <w:color w:val="000000" w:themeColor="text1"/>
          <w:sz w:val="32"/>
          <w:szCs w:val="32"/>
          <w:lang w:val="en-US" w:eastAsia="zh-CN"/>
          <w14:textFill>
            <w14:solidFill>
              <w14:schemeClr w14:val="tx1"/>
            </w14:solidFill>
          </w14:textFill>
        </w:rPr>
        <w:t>8</w:t>
      </w:r>
      <w:r>
        <w:rPr>
          <w:rFonts w:hint="eastAsia" w:ascii="仿宋_GB2312" w:hAnsi="ˎ̥" w:eastAsia="仿宋_GB2312"/>
          <w:color w:val="000000" w:themeColor="text1"/>
          <w:sz w:val="32"/>
          <w:szCs w:val="32"/>
          <w14:textFill>
            <w14:solidFill>
              <w14:schemeClr w14:val="tx1"/>
            </w14:solidFill>
          </w14:textFill>
        </w:rPr>
        <w:t>%；</w:t>
      </w:r>
      <w:r>
        <w:rPr>
          <w:rFonts w:hint="eastAsia" w:ascii="仿宋" w:hAnsi="仿宋" w:eastAsia="仿宋" w:cs="仿宋"/>
          <w:b/>
          <w:bCs/>
          <w:color w:val="000000" w:themeColor="text1"/>
          <w:spacing w:val="3"/>
          <w:sz w:val="31"/>
          <w:szCs w:val="31"/>
          <w14:textFill>
            <w14:solidFill>
              <w14:schemeClr w14:val="tx1"/>
            </w14:solidFill>
          </w14:textFill>
        </w:rPr>
        <w:t>粮油物资储备支出</w:t>
      </w:r>
      <w:r>
        <w:rPr>
          <w:rFonts w:ascii="仿宋" w:hAnsi="仿宋" w:eastAsia="仿宋" w:cs="仿宋"/>
          <w:b/>
          <w:bCs/>
          <w:color w:val="000000" w:themeColor="text1"/>
          <w:spacing w:val="3"/>
          <w:sz w:val="31"/>
          <w:szCs w:val="31"/>
          <w14:textFill>
            <w14:solidFill>
              <w14:schemeClr w14:val="tx1"/>
            </w14:solidFill>
          </w14:textFill>
        </w:rPr>
        <w:t>（类</w:t>
      </w:r>
      <w:r>
        <w:rPr>
          <w:rFonts w:ascii="仿宋" w:hAnsi="仿宋" w:eastAsia="仿宋" w:cs="仿宋"/>
          <w:b/>
          <w:bCs/>
          <w:color w:val="000000" w:themeColor="text1"/>
          <w:spacing w:val="-66"/>
          <w:sz w:val="31"/>
          <w:szCs w:val="31"/>
          <w14:textFill>
            <w14:solidFill>
              <w14:schemeClr w14:val="tx1"/>
            </w14:solidFill>
          </w14:textFill>
        </w:rPr>
        <w:t xml:space="preserve"> </w:t>
      </w:r>
      <w:r>
        <w:rPr>
          <w:rFonts w:ascii="仿宋" w:hAnsi="仿宋" w:eastAsia="仿宋" w:cs="仿宋"/>
          <w:b/>
          <w:bCs/>
          <w:color w:val="000000" w:themeColor="text1"/>
          <w:spacing w:val="3"/>
          <w:sz w:val="31"/>
          <w:szCs w:val="31"/>
          <w14:textFill>
            <w14:solidFill>
              <w14:schemeClr w14:val="tx1"/>
            </w14:solidFill>
          </w14:textFill>
        </w:rPr>
        <w:t>）</w:t>
      </w:r>
      <w:r>
        <w:rPr>
          <w:rFonts w:hint="eastAsia" w:ascii="仿宋" w:hAnsi="仿宋" w:eastAsia="仿宋" w:cs="仿宋"/>
          <w:color w:val="000000" w:themeColor="text1"/>
          <w:spacing w:val="3"/>
          <w:sz w:val="31"/>
          <w:szCs w:val="31"/>
          <w:lang w:val="en-US" w:eastAsia="zh-CN"/>
          <w14:textFill>
            <w14:solidFill>
              <w14:schemeClr w14:val="tx1"/>
            </w14:solidFill>
          </w14:textFill>
        </w:rPr>
        <w:t>1.2</w:t>
      </w:r>
      <w:r>
        <w:rPr>
          <w:rFonts w:ascii="仿宋" w:hAnsi="仿宋" w:eastAsia="仿宋" w:cs="仿宋"/>
          <w:color w:val="000000" w:themeColor="text1"/>
          <w:spacing w:val="-44"/>
          <w:sz w:val="31"/>
          <w:szCs w:val="31"/>
          <w14:textFill>
            <w14:solidFill>
              <w14:schemeClr w14:val="tx1"/>
            </w14:solidFill>
          </w14:textFill>
        </w:rPr>
        <w:t xml:space="preserve"> </w:t>
      </w:r>
      <w:r>
        <w:rPr>
          <w:rFonts w:ascii="仿宋" w:hAnsi="仿宋" w:eastAsia="仿宋" w:cs="仿宋"/>
          <w:color w:val="000000" w:themeColor="text1"/>
          <w:spacing w:val="2"/>
          <w:sz w:val="31"/>
          <w:szCs w:val="31"/>
          <w14:textFill>
            <w14:solidFill>
              <w14:schemeClr w14:val="tx1"/>
            </w14:solidFill>
          </w14:textFill>
        </w:rPr>
        <w:t>万元，</w:t>
      </w:r>
      <w:r>
        <w:rPr>
          <w:rFonts w:hint="eastAsia" w:ascii="仿宋_GB2312" w:hAnsi="ˎ̥" w:eastAsia="仿宋_GB2312"/>
          <w:color w:val="000000" w:themeColor="text1"/>
          <w:sz w:val="32"/>
          <w:szCs w:val="32"/>
          <w14:textFill>
            <w14:solidFill>
              <w14:schemeClr w14:val="tx1"/>
            </w14:solidFill>
          </w14:textFill>
        </w:rPr>
        <w:t>占</w:t>
      </w:r>
      <w:r>
        <w:rPr>
          <w:rFonts w:hint="eastAsia" w:ascii="仿宋_GB2312" w:hAnsi="ˎ̥" w:eastAsia="仿宋_GB2312"/>
          <w:color w:val="000000" w:themeColor="text1"/>
          <w:sz w:val="32"/>
          <w:szCs w:val="32"/>
          <w:lang w:val="en-US" w:eastAsia="zh-CN"/>
          <w14:textFill>
            <w14:solidFill>
              <w14:schemeClr w14:val="tx1"/>
            </w14:solidFill>
          </w14:textFill>
        </w:rPr>
        <w:t>0.05</w:t>
      </w:r>
      <w:r>
        <w:rPr>
          <w:rFonts w:hint="eastAsia" w:ascii="仿宋_GB2312" w:hAnsi="ˎ̥" w:eastAsia="仿宋_GB2312"/>
          <w:color w:val="000000" w:themeColor="text1"/>
          <w:sz w:val="32"/>
          <w:szCs w:val="32"/>
          <w14:textFill>
            <w14:solidFill>
              <w14:schemeClr w14:val="tx1"/>
            </w14:solidFill>
          </w14:textFill>
        </w:rPr>
        <w:t>%；</w:t>
      </w:r>
      <w:r>
        <w:rPr>
          <w:rFonts w:hint="eastAsia" w:ascii="仿宋" w:hAnsi="仿宋" w:eastAsia="仿宋" w:cs="仿宋"/>
          <w:b/>
          <w:bCs/>
          <w:color w:val="000000" w:themeColor="text1"/>
          <w:spacing w:val="-7"/>
          <w:sz w:val="31"/>
          <w:szCs w:val="31"/>
          <w14:textFill>
            <w14:solidFill>
              <w14:schemeClr w14:val="tx1"/>
            </w14:solidFill>
          </w14:textFill>
        </w:rPr>
        <w:t>灾害防治及应急管理支出</w:t>
      </w:r>
      <w:r>
        <w:rPr>
          <w:rFonts w:ascii="仿宋" w:hAnsi="仿宋" w:eastAsia="仿宋" w:cs="仿宋"/>
          <w:b/>
          <w:bCs/>
          <w:color w:val="000000" w:themeColor="text1"/>
          <w:spacing w:val="-7"/>
          <w:sz w:val="31"/>
          <w:szCs w:val="31"/>
          <w14:textFill>
            <w14:solidFill>
              <w14:schemeClr w14:val="tx1"/>
            </w14:solidFill>
          </w14:textFill>
        </w:rPr>
        <w:t>（类）</w:t>
      </w:r>
      <w:r>
        <w:rPr>
          <w:rFonts w:hint="eastAsia" w:ascii="仿宋" w:hAnsi="仿宋" w:eastAsia="仿宋" w:cs="仿宋"/>
          <w:color w:val="000000" w:themeColor="text1"/>
          <w:spacing w:val="-7"/>
          <w:sz w:val="31"/>
          <w:szCs w:val="31"/>
          <w:lang w:val="en-US" w:eastAsia="zh-CN"/>
          <w14:textFill>
            <w14:solidFill>
              <w14:schemeClr w14:val="tx1"/>
            </w14:solidFill>
          </w14:textFill>
        </w:rPr>
        <w:t>9.99</w:t>
      </w:r>
      <w:r>
        <w:rPr>
          <w:rFonts w:ascii="仿宋" w:hAnsi="仿宋" w:eastAsia="仿宋" w:cs="仿宋"/>
          <w:color w:val="000000" w:themeColor="text1"/>
          <w:spacing w:val="-7"/>
          <w:sz w:val="31"/>
          <w:szCs w:val="31"/>
          <w14:textFill>
            <w14:solidFill>
              <w14:schemeClr w14:val="tx1"/>
            </w14:solidFill>
          </w14:textFill>
        </w:rPr>
        <w:t>万元</w:t>
      </w:r>
      <w:r>
        <w:rPr>
          <w:rFonts w:hint="eastAsia" w:ascii="仿宋_GB2312" w:hAnsi="ˎ̥" w:eastAsia="仿宋_GB2312"/>
          <w:color w:val="000000" w:themeColor="text1"/>
          <w:sz w:val="32"/>
          <w:szCs w:val="32"/>
          <w14:textFill>
            <w14:solidFill>
              <w14:schemeClr w14:val="tx1"/>
            </w14:solidFill>
          </w14:textFill>
        </w:rPr>
        <w:t>占</w:t>
      </w:r>
      <w:r>
        <w:rPr>
          <w:rFonts w:hint="eastAsia" w:ascii="仿宋_GB2312" w:hAnsi="ˎ̥" w:eastAsia="仿宋_GB2312"/>
          <w:color w:val="000000" w:themeColor="text1"/>
          <w:sz w:val="32"/>
          <w:szCs w:val="32"/>
          <w:lang w:val="en-US" w:eastAsia="zh-CN"/>
          <w14:textFill>
            <w14:solidFill>
              <w14:schemeClr w14:val="tx1"/>
            </w14:solidFill>
          </w14:textFill>
        </w:rPr>
        <w:t>0.41</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32"/>
          <w:szCs w:val="32"/>
        </w:rPr>
      </w:pPr>
      <w:bookmarkStart w:id="91" w:name="_Toc25136_WPSOffice_Level2"/>
      <w:bookmarkStart w:id="92" w:name="_Toc15415_WPSOffice_Level2"/>
      <w:bookmarkStart w:id="93" w:name="_Toc21701_WPSOffice_Level2"/>
      <w:bookmarkStart w:id="94" w:name="_Toc29364_WPSOffice_Level2"/>
      <w:bookmarkStart w:id="95" w:name="_Toc9502_WPSOffice_Level2"/>
      <w:bookmarkStart w:id="96" w:name="_Toc22318_WPSOffice_Level2"/>
      <w:r>
        <w:drawing>
          <wp:inline distT="0" distB="0" distL="114300" distR="114300">
            <wp:extent cx="5610860" cy="2614295"/>
            <wp:effectExtent l="4445" t="4445" r="23495" b="101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（三）一般公共预算财政拨款支出决算具体情况</w:t>
      </w:r>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2189.96</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2,413.05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110.19</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b/>
          <w:color w:val="auto"/>
          <w:sz w:val="32"/>
          <w:szCs w:val="32"/>
        </w:rPr>
        <w:t>一般公共服务（类）人大事务（款）行政运行（项）。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0.3</w:t>
      </w:r>
      <w:r>
        <w:rPr>
          <w:rFonts w:hint="eastAsia" w:ascii="仿宋_GB2312" w:hAnsi="仿宋_GB2312" w:eastAsia="仿宋_GB2312" w:cs="仿宋_GB2312"/>
          <w:color w:val="auto"/>
          <w:sz w:val="32"/>
          <w:szCs w:val="32"/>
        </w:rPr>
        <w:t>万元。决算数大于预算数的主要原因：</w:t>
      </w:r>
      <w:r>
        <w:rPr>
          <w:rFonts w:hint="eastAsia" w:ascii="仿宋_GB2312" w:hAnsi="仿宋_GB2312" w:eastAsia="仿宋_GB2312" w:cs="仿宋_GB2312"/>
          <w:color w:val="auto"/>
          <w:sz w:val="32"/>
          <w:szCs w:val="32"/>
          <w:lang w:eastAsia="zh-CN"/>
        </w:rPr>
        <w:t>年初预算未单独列示，在</w:t>
      </w:r>
      <w:r>
        <w:rPr>
          <w:rFonts w:hint="eastAsia" w:ascii="仿宋_GB2312" w:hAnsi="仿宋_GB2312" w:eastAsia="仿宋_GB2312" w:cs="仿宋_GB2312"/>
          <w:b w:val="0"/>
          <w:bCs/>
          <w:color w:val="auto"/>
          <w:sz w:val="32"/>
          <w:szCs w:val="32"/>
        </w:rPr>
        <w:t>政府办公厅（室）及相关机构事务（款）行政运行（项）</w:t>
      </w:r>
      <w:r>
        <w:rPr>
          <w:rFonts w:hint="eastAsia" w:ascii="仿宋_GB2312" w:hAnsi="仿宋_GB2312" w:eastAsia="仿宋_GB2312" w:cs="仿宋_GB2312"/>
          <w:b w:val="0"/>
          <w:bCs/>
          <w:color w:val="auto"/>
          <w:sz w:val="32"/>
          <w:szCs w:val="32"/>
          <w:lang w:eastAsia="zh-CN"/>
        </w:rPr>
        <w:t>中统一预算</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color w:val="auto"/>
          <w:sz w:val="32"/>
          <w:szCs w:val="32"/>
        </w:rPr>
        <w:t>一般公共服务（类）人大事务（款）人大会议（项）。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3.02</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1.95</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64.57</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小</w:t>
      </w:r>
      <w:r>
        <w:rPr>
          <w:rFonts w:hint="eastAsia" w:ascii="仿宋_GB2312" w:hAnsi="仿宋_GB2312" w:eastAsia="仿宋_GB2312" w:cs="仿宋_GB2312"/>
          <w:color w:val="auto"/>
          <w:sz w:val="32"/>
          <w:szCs w:val="32"/>
        </w:rPr>
        <w:t>于预算数的主要原因：</w:t>
      </w:r>
      <w:r>
        <w:rPr>
          <w:rFonts w:hint="eastAsia" w:ascii="仿宋_GB2312" w:hAnsi="仿宋_GB2312" w:eastAsia="仿宋_GB2312" w:cs="仿宋_GB2312"/>
          <w:color w:val="auto"/>
          <w:sz w:val="32"/>
          <w:szCs w:val="32"/>
          <w:lang w:eastAsia="zh-CN"/>
        </w:rPr>
        <w:t>按照八项规定，严格控制公议费支出</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color w:val="auto"/>
          <w:sz w:val="32"/>
          <w:szCs w:val="32"/>
        </w:rPr>
        <w:t>一般公共服务（类）人大事务（款）人大代表履职能力提升（项）。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11.44</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10.65</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93.09</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预算数</w:t>
      </w:r>
      <w:r>
        <w:rPr>
          <w:rFonts w:hint="eastAsia" w:ascii="仿宋_GB2312" w:hAnsi="仿宋_GB2312" w:eastAsia="仿宋_GB2312" w:cs="仿宋_GB2312"/>
          <w:color w:val="auto"/>
          <w:sz w:val="32"/>
          <w:szCs w:val="32"/>
          <w:lang w:eastAsia="zh-CN"/>
        </w:rPr>
        <w:t>基本持平</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color w:val="auto"/>
          <w:sz w:val="32"/>
          <w:szCs w:val="32"/>
        </w:rPr>
        <w:t>一般公共服务（类）人大事务（款）其他人大事务支出（项）。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5.62</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93.67</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预算数</w:t>
      </w:r>
      <w:r>
        <w:rPr>
          <w:rFonts w:hint="eastAsia" w:ascii="仿宋_GB2312" w:hAnsi="仿宋_GB2312" w:eastAsia="仿宋_GB2312" w:cs="仿宋_GB2312"/>
          <w:color w:val="auto"/>
          <w:sz w:val="32"/>
          <w:szCs w:val="32"/>
          <w:lang w:eastAsia="zh-CN"/>
        </w:rPr>
        <w:t>基本持平</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color w:val="auto"/>
          <w:sz w:val="32"/>
          <w:szCs w:val="32"/>
        </w:rPr>
        <w:t>一般公共服务（类）政府办公厅（室）及相关机构事务（款）行政运行（项）。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1438.01</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1377.78</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95.81</w:t>
      </w:r>
      <w:r>
        <w:rPr>
          <w:rFonts w:hint="eastAsia" w:ascii="仿宋_GB2312" w:hAnsi="仿宋_GB2312" w:eastAsia="仿宋_GB2312" w:cs="仿宋_GB2312"/>
          <w:color w:val="auto"/>
          <w:sz w:val="32"/>
          <w:szCs w:val="32"/>
        </w:rPr>
        <w:t>%。决算数小于预算数的主要原因：</w:t>
      </w:r>
      <w:r>
        <w:rPr>
          <w:rFonts w:hint="eastAsia" w:ascii="仿宋_GB2312" w:hAnsi="仿宋_GB2312" w:eastAsia="仿宋_GB2312" w:cs="仿宋_GB2312"/>
          <w:color w:val="auto"/>
          <w:sz w:val="32"/>
          <w:szCs w:val="32"/>
          <w:lang w:eastAsia="zh-CN"/>
        </w:rPr>
        <w:t>部分明细项决算时单独列示</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color w:val="auto"/>
          <w:sz w:val="32"/>
          <w:szCs w:val="32"/>
        </w:rPr>
        <w:t>一般公共服务（类）政府办公厅（室）及相关机构事务（款）机关服务（项）。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预算数</w:t>
      </w:r>
      <w:r>
        <w:rPr>
          <w:rFonts w:hint="eastAsia" w:ascii="仿宋_GB2312" w:hAnsi="仿宋_GB2312" w:eastAsia="仿宋_GB2312" w:cs="仿宋_GB2312"/>
          <w:color w:val="auto"/>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一般公共服务（类）政府办公厅（室）及相关机构事务（款）</w:t>
      </w:r>
      <w:r>
        <w:rPr>
          <w:rFonts w:hint="eastAsia" w:ascii="仿宋_GB2312" w:hAnsi="仿宋_GB2312" w:eastAsia="仿宋_GB2312" w:cs="仿宋_GB2312"/>
          <w:b/>
          <w:color w:val="auto"/>
          <w:sz w:val="32"/>
          <w:szCs w:val="32"/>
        </w:rPr>
        <w:t>其他政府办公厅（室）及相关机构事务支出（项）。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69.14</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217.95</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315.23</w:t>
      </w:r>
      <w:r>
        <w:rPr>
          <w:rFonts w:hint="eastAsia" w:ascii="仿宋_GB2312" w:hAnsi="仿宋_GB2312" w:eastAsia="仿宋_GB2312" w:cs="仿宋_GB2312"/>
          <w:color w:val="auto"/>
          <w:sz w:val="32"/>
          <w:szCs w:val="32"/>
        </w:rPr>
        <w:t>%。决算数大于预算数的主要原因：</w:t>
      </w:r>
      <w:r>
        <w:rPr>
          <w:rFonts w:hint="eastAsia" w:ascii="仿宋_GB2312" w:hAnsi="仿宋_GB2312" w:eastAsia="仿宋_GB2312" w:cs="仿宋_GB2312"/>
          <w:color w:val="auto"/>
          <w:sz w:val="32"/>
          <w:szCs w:val="32"/>
          <w:lang w:eastAsia="zh-CN"/>
        </w:rPr>
        <w:t>本年项目支出增长</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一般公共服务（类）统计信息事务（款）专项普查活动（项）。</w:t>
      </w:r>
      <w:r>
        <w:rPr>
          <w:rFonts w:hint="eastAsia" w:ascii="仿宋_GB2312" w:hAnsi="仿宋_GB2312" w:eastAsia="仿宋_GB2312" w:cs="仿宋_GB2312"/>
          <w:sz w:val="32"/>
          <w:szCs w:val="32"/>
        </w:rPr>
        <w:t>年初</w:t>
      </w:r>
      <w:r>
        <w:rPr>
          <w:rFonts w:hint="eastAsia" w:ascii="仿宋_GB2312" w:hAnsi="仿宋_GB2312" w:eastAsia="仿宋_GB2312" w:cs="仿宋_GB2312"/>
          <w:color w:val="auto"/>
          <w:sz w:val="32"/>
          <w:szCs w:val="32"/>
        </w:rPr>
        <w:t>预算为</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预算数</w:t>
      </w:r>
      <w:r>
        <w:rPr>
          <w:rFonts w:hint="eastAsia" w:ascii="仿宋_GB2312" w:hAnsi="仿宋_GB2312" w:eastAsia="仿宋_GB2312" w:cs="仿宋_GB2312"/>
          <w:color w:val="auto"/>
          <w:sz w:val="32"/>
          <w:szCs w:val="32"/>
          <w:lang w:eastAsia="zh-CN"/>
        </w:rPr>
        <w:t>持平</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color w:val="auto"/>
          <w:sz w:val="32"/>
          <w:szCs w:val="32"/>
        </w:rPr>
        <w:t>一般公共服务（类）纪检监察事务（款）其他纪检监察事务支出（项）。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预算数</w:t>
      </w:r>
      <w:r>
        <w:rPr>
          <w:rFonts w:hint="eastAsia" w:ascii="仿宋_GB2312" w:hAnsi="仿宋_GB2312" w:eastAsia="仿宋_GB2312" w:cs="仿宋_GB2312"/>
          <w:color w:val="auto"/>
          <w:sz w:val="32"/>
          <w:szCs w:val="32"/>
          <w:lang w:eastAsia="zh-CN"/>
        </w:rPr>
        <w:t>持平</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color w:val="auto"/>
          <w:sz w:val="32"/>
          <w:szCs w:val="32"/>
        </w:rPr>
        <w:t>一般公共服务（类）群众团体事务（款）其他群众团体事务支出（项）。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4.85</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97</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预算数</w:t>
      </w:r>
      <w:r>
        <w:rPr>
          <w:rFonts w:hint="eastAsia" w:ascii="仿宋_GB2312" w:hAnsi="仿宋_GB2312" w:eastAsia="仿宋_GB2312" w:cs="仿宋_GB2312"/>
          <w:color w:val="auto"/>
          <w:sz w:val="32"/>
          <w:szCs w:val="32"/>
          <w:lang w:eastAsia="zh-CN"/>
        </w:rPr>
        <w:t>基本持平</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color w:val="auto"/>
          <w:sz w:val="32"/>
          <w:szCs w:val="32"/>
        </w:rPr>
        <w:t>一般公共服务（类）党委办公厅（室）及相关机构事务（款）其他党委办公厅（室）及相关机构事务支出（项）。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7.48</w:t>
      </w:r>
      <w:r>
        <w:rPr>
          <w:rFonts w:hint="eastAsia" w:ascii="仿宋_GB2312" w:hAnsi="仿宋_GB2312" w:eastAsia="仿宋_GB2312" w:cs="仿宋_GB2312"/>
          <w:color w:val="auto"/>
          <w:sz w:val="32"/>
          <w:szCs w:val="32"/>
        </w:rPr>
        <w:t>万元。决算数大于预算数的主要原因：</w:t>
      </w:r>
      <w:r>
        <w:rPr>
          <w:rFonts w:hint="eastAsia" w:ascii="仿宋_GB2312" w:hAnsi="仿宋_GB2312" w:eastAsia="仿宋_GB2312" w:cs="仿宋_GB2312"/>
          <w:color w:val="auto"/>
          <w:sz w:val="32"/>
          <w:szCs w:val="32"/>
          <w:lang w:eastAsia="zh-CN"/>
        </w:rPr>
        <w:t>年初预算未单独列示，在</w:t>
      </w:r>
      <w:r>
        <w:rPr>
          <w:rFonts w:hint="eastAsia" w:ascii="仿宋_GB2312" w:hAnsi="仿宋_GB2312" w:eastAsia="仿宋_GB2312" w:cs="仿宋_GB2312"/>
          <w:b w:val="0"/>
          <w:bCs/>
          <w:color w:val="auto"/>
          <w:sz w:val="32"/>
          <w:szCs w:val="32"/>
        </w:rPr>
        <w:t>政府办公厅（室）及相关机构事务（款）行政运行（项）</w:t>
      </w:r>
      <w:r>
        <w:rPr>
          <w:rFonts w:hint="eastAsia" w:ascii="仿宋_GB2312" w:hAnsi="仿宋_GB2312" w:eastAsia="仿宋_GB2312" w:cs="仿宋_GB2312"/>
          <w:b w:val="0"/>
          <w:bCs/>
          <w:color w:val="auto"/>
          <w:sz w:val="32"/>
          <w:szCs w:val="32"/>
          <w:lang w:eastAsia="zh-CN"/>
        </w:rPr>
        <w:t>中统一预算</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一般公共服务（类）宣传事务（款</w:t>
      </w:r>
      <w:r>
        <w:rPr>
          <w:rFonts w:hint="eastAsia" w:ascii="仿宋_GB2312" w:hAnsi="仿宋_GB2312" w:eastAsia="仿宋_GB2312" w:cs="仿宋_GB2312"/>
          <w:b/>
          <w:sz w:val="32"/>
          <w:szCs w:val="32"/>
          <w:lang w:eastAsia="zh-CN"/>
        </w:rPr>
        <w:t>）其</w:t>
      </w:r>
      <w:r>
        <w:rPr>
          <w:rFonts w:hint="eastAsia" w:ascii="仿宋_GB2312" w:hAnsi="仿宋_GB2312" w:eastAsia="仿宋_GB2312" w:cs="仿宋_GB2312"/>
          <w:b/>
          <w:sz w:val="32"/>
          <w:szCs w:val="32"/>
        </w:rPr>
        <w:t>他宣传事务支出（项）。</w:t>
      </w:r>
      <w:r>
        <w:rPr>
          <w:rFonts w:hint="eastAsia" w:ascii="仿宋_GB2312" w:hAnsi="仿宋_GB2312" w:eastAsia="仿宋_GB2312" w:cs="仿宋_GB2312"/>
          <w:sz w:val="32"/>
          <w:szCs w:val="32"/>
        </w:rPr>
        <w:t>年初</w:t>
      </w:r>
      <w:r>
        <w:rPr>
          <w:rFonts w:hint="eastAsia" w:ascii="仿宋_GB2312" w:hAnsi="仿宋_GB2312" w:eastAsia="仿宋_GB2312" w:cs="仿宋_GB2312"/>
          <w:color w:val="auto"/>
          <w:sz w:val="32"/>
          <w:szCs w:val="32"/>
        </w:rPr>
        <w:t>预算为</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预算数</w:t>
      </w:r>
      <w:r>
        <w:rPr>
          <w:rFonts w:hint="eastAsia" w:ascii="仿宋_GB2312" w:hAnsi="仿宋_GB2312" w:eastAsia="仿宋_GB2312" w:cs="仿宋_GB2312"/>
          <w:color w:val="auto"/>
          <w:sz w:val="32"/>
          <w:szCs w:val="32"/>
          <w:lang w:eastAsia="zh-CN"/>
        </w:rPr>
        <w:t>持平</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color w:val="auto"/>
          <w:sz w:val="32"/>
          <w:szCs w:val="32"/>
        </w:rPr>
        <w:t>国防支出（类）国防动员（款）民兵（项）。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预算数</w:t>
      </w:r>
      <w:r>
        <w:rPr>
          <w:rFonts w:hint="eastAsia" w:ascii="仿宋_GB2312" w:hAnsi="仿宋_GB2312" w:eastAsia="仿宋_GB2312" w:cs="仿宋_GB2312"/>
          <w:color w:val="auto"/>
          <w:sz w:val="32"/>
          <w:szCs w:val="32"/>
          <w:lang w:eastAsia="zh-CN"/>
        </w:rPr>
        <w:t>持平</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文化旅游体育与传媒支出（类）文化和旅游（款）群众文化（</w:t>
      </w:r>
      <w:r>
        <w:rPr>
          <w:rFonts w:hint="eastAsia" w:ascii="仿宋_GB2312" w:hAnsi="仿宋_GB2312" w:eastAsia="仿宋_GB2312" w:cs="仿宋_GB2312"/>
          <w:b/>
          <w:color w:val="auto"/>
          <w:sz w:val="32"/>
          <w:szCs w:val="32"/>
        </w:rPr>
        <w:t>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20.6</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171.67</w:t>
      </w:r>
      <w:r>
        <w:rPr>
          <w:rFonts w:hint="eastAsia" w:ascii="仿宋_GB2312" w:hAnsi="仿宋_GB2312" w:eastAsia="仿宋_GB2312" w:cs="仿宋_GB2312"/>
          <w:color w:val="auto"/>
          <w:sz w:val="32"/>
          <w:szCs w:val="32"/>
        </w:rPr>
        <w:t>%。决算</w:t>
      </w:r>
      <w:r>
        <w:rPr>
          <w:rFonts w:hint="eastAsia" w:ascii="仿宋_GB2312" w:hAnsi="仿宋_GB2312" w:eastAsia="仿宋_GB2312" w:cs="仿宋_GB2312"/>
          <w:sz w:val="32"/>
          <w:szCs w:val="32"/>
        </w:rPr>
        <w:t>数大于预算数的主要原因：</w:t>
      </w:r>
      <w:r>
        <w:rPr>
          <w:rFonts w:hint="eastAsia" w:ascii="仿宋_GB2312" w:hAnsi="仿宋_GB2312" w:eastAsia="仿宋_GB2312" w:cs="仿宋_GB2312"/>
          <w:sz w:val="32"/>
          <w:szCs w:val="32"/>
          <w:lang w:eastAsia="zh-CN"/>
        </w:rPr>
        <w:t>本年群众文化项目资金增加</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社会保障和就业支出（类）行政事业单位养老支出（款）机关事业单位基本养老保险缴费支出</w:t>
      </w:r>
      <w:r>
        <w:rPr>
          <w:rFonts w:hint="eastAsia" w:ascii="仿宋_GB2312" w:hAnsi="仿宋_GB2312" w:eastAsia="仿宋_GB2312" w:cs="仿宋_GB2312"/>
          <w:b/>
          <w:color w:val="auto"/>
          <w:sz w:val="32"/>
          <w:szCs w:val="32"/>
        </w:rPr>
        <w:t>（项）。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187.22</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187.22</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预算数</w:t>
      </w:r>
      <w:r>
        <w:rPr>
          <w:rFonts w:hint="eastAsia" w:ascii="仿宋_GB2312" w:hAnsi="仿宋_GB2312" w:eastAsia="仿宋_GB2312" w:cs="仿宋_GB2312"/>
          <w:color w:val="auto"/>
          <w:sz w:val="32"/>
          <w:szCs w:val="32"/>
          <w:lang w:eastAsia="zh-CN"/>
        </w:rPr>
        <w:t>持平</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color w:val="auto"/>
          <w:sz w:val="32"/>
          <w:szCs w:val="32"/>
        </w:rPr>
        <w:t>社会保障和就业支出（类）残疾人事业（款）残疾人</w:t>
      </w:r>
      <w:r>
        <w:rPr>
          <w:rFonts w:hint="eastAsia" w:ascii="仿宋_GB2312" w:hAnsi="仿宋_GB2312" w:eastAsia="仿宋_GB2312" w:cs="仿宋_GB2312"/>
          <w:b/>
          <w:color w:val="auto"/>
          <w:sz w:val="32"/>
          <w:szCs w:val="32"/>
          <w:lang w:eastAsia="zh-CN"/>
        </w:rPr>
        <w:t>就业</w:t>
      </w:r>
      <w:r>
        <w:rPr>
          <w:rFonts w:hint="eastAsia" w:ascii="仿宋_GB2312" w:hAnsi="仿宋_GB2312" w:eastAsia="仿宋_GB2312" w:cs="仿宋_GB2312"/>
          <w:b/>
          <w:color w:val="auto"/>
          <w:sz w:val="32"/>
          <w:szCs w:val="32"/>
        </w:rPr>
        <w:t>（项）。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5.41</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90.17</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预算数</w:t>
      </w:r>
      <w:r>
        <w:rPr>
          <w:rFonts w:hint="eastAsia" w:ascii="仿宋_GB2312" w:hAnsi="仿宋_GB2312" w:eastAsia="仿宋_GB2312" w:cs="仿宋_GB2312"/>
          <w:color w:val="auto"/>
          <w:sz w:val="32"/>
          <w:szCs w:val="32"/>
          <w:lang w:eastAsia="zh-CN"/>
        </w:rPr>
        <w:t>基本持平</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卫生健康支出（类）行政事业单位医疗（款）行政单位医疗（</w:t>
      </w:r>
      <w:r>
        <w:rPr>
          <w:rFonts w:hint="eastAsia" w:ascii="仿宋_GB2312" w:hAnsi="仿宋_GB2312" w:eastAsia="仿宋_GB2312" w:cs="仿宋_GB2312"/>
          <w:b/>
          <w:color w:val="auto"/>
          <w:sz w:val="32"/>
          <w:szCs w:val="32"/>
        </w:rPr>
        <w:t>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90.1</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90.1</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预算数</w:t>
      </w:r>
      <w:r>
        <w:rPr>
          <w:rFonts w:hint="eastAsia" w:ascii="仿宋_GB2312" w:hAnsi="仿宋_GB2312" w:eastAsia="仿宋_GB2312" w:cs="仿宋_GB2312"/>
          <w:sz w:val="32"/>
          <w:szCs w:val="32"/>
          <w:lang w:eastAsia="zh-CN"/>
        </w:rPr>
        <w:t>持平</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卫生健康支出（类）行政事业单位医疗（款）公务员医疗补助（项）</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23.4</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23.4</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sz w:val="32"/>
          <w:szCs w:val="32"/>
        </w:rPr>
        <w:t>预算数</w:t>
      </w:r>
      <w:r>
        <w:rPr>
          <w:rFonts w:hint="eastAsia" w:ascii="仿宋_GB2312" w:hAnsi="仿宋_GB2312" w:eastAsia="仿宋_GB2312" w:cs="仿宋_GB2312"/>
          <w:sz w:val="32"/>
          <w:szCs w:val="32"/>
          <w:lang w:eastAsia="zh-CN"/>
        </w:rPr>
        <w:t>持平</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城乡社区支出（类）城乡社区环境卫生（款）城乡社区环</w:t>
      </w:r>
      <w:r>
        <w:rPr>
          <w:rFonts w:hint="eastAsia" w:ascii="仿宋_GB2312" w:hAnsi="仿宋_GB2312" w:eastAsia="仿宋_GB2312" w:cs="仿宋_GB2312"/>
          <w:b/>
          <w:color w:val="auto"/>
          <w:sz w:val="32"/>
          <w:szCs w:val="32"/>
        </w:rPr>
        <w:t>境卫生（项）。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47.34</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57.59</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121.65</w:t>
      </w:r>
      <w:r>
        <w:rPr>
          <w:rFonts w:hint="eastAsia" w:ascii="仿宋_GB2312" w:hAnsi="仿宋_GB2312" w:eastAsia="仿宋_GB2312" w:cs="仿宋_GB2312"/>
          <w:color w:val="auto"/>
          <w:sz w:val="32"/>
          <w:szCs w:val="32"/>
        </w:rPr>
        <w:t>%。决算数大于预算数的主要原因：</w:t>
      </w:r>
      <w:bookmarkStart w:id="121" w:name="_GoBack"/>
      <w:bookmarkEnd w:id="121"/>
      <w:r>
        <w:rPr>
          <w:rFonts w:hint="eastAsia" w:ascii="仿宋_GB2312" w:hAnsi="仿宋_GB2312" w:eastAsia="仿宋_GB2312" w:cs="仿宋_GB2312"/>
          <w:color w:val="auto"/>
          <w:sz w:val="32"/>
          <w:szCs w:val="32"/>
          <w:lang w:eastAsia="zh-CN"/>
        </w:rPr>
        <w:t>本年垃圾清运成本增加</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color w:val="auto"/>
          <w:sz w:val="32"/>
          <w:szCs w:val="32"/>
        </w:rPr>
        <w:t>农林水支出（类）农业农村（款）农业生态资源保护（项）。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sz w:val="32"/>
          <w:szCs w:val="32"/>
        </w:rPr>
        <w:t>决算数大于预算数的主要原因：</w:t>
      </w:r>
      <w:r>
        <w:rPr>
          <w:rFonts w:hint="eastAsia" w:ascii="仿宋_GB2312" w:hAnsi="仿宋_GB2312" w:eastAsia="仿宋_GB2312" w:cs="仿宋_GB2312"/>
          <w:sz w:val="32"/>
          <w:szCs w:val="32"/>
          <w:lang w:eastAsia="zh-CN"/>
        </w:rPr>
        <w:t>本年追加预算项目</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农林水支出（类）林业和草原（款）林业草原防灾减灾</w:t>
      </w:r>
      <w:r>
        <w:rPr>
          <w:rFonts w:hint="eastAsia" w:ascii="仿宋_GB2312" w:hAnsi="仿宋_GB2312" w:eastAsia="仿宋_GB2312" w:cs="仿宋_GB2312"/>
          <w:b/>
          <w:color w:val="auto"/>
          <w:sz w:val="32"/>
          <w:szCs w:val="32"/>
        </w:rPr>
        <w:t>（项）。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预算数</w:t>
      </w:r>
      <w:r>
        <w:rPr>
          <w:rFonts w:hint="eastAsia" w:ascii="仿宋_GB2312" w:hAnsi="仿宋_GB2312" w:eastAsia="仿宋_GB2312" w:cs="仿宋_GB2312"/>
          <w:sz w:val="32"/>
          <w:szCs w:val="32"/>
          <w:lang w:eastAsia="zh-CN"/>
        </w:rPr>
        <w:t>持平</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b/>
          <w:color w:val="auto"/>
          <w:sz w:val="32"/>
          <w:szCs w:val="32"/>
        </w:rPr>
        <w:t>农林水支出（类）水利（款）其他水利支出（项）。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预算数</w:t>
      </w:r>
      <w:r>
        <w:rPr>
          <w:rFonts w:hint="eastAsia" w:ascii="仿宋_GB2312" w:hAnsi="仿宋_GB2312" w:eastAsia="仿宋_GB2312" w:cs="仿宋_GB2312"/>
          <w:color w:val="auto"/>
          <w:sz w:val="32"/>
          <w:szCs w:val="32"/>
          <w:lang w:eastAsia="zh-CN"/>
        </w:rPr>
        <w:t>持平</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农林水支出（类）巩固脱贫攻坚成果衔接乡村振兴（款）农村基础设施建设（项</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28.37</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15.96</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25.26</w:t>
      </w:r>
      <w:r>
        <w:rPr>
          <w:rFonts w:hint="eastAsia" w:ascii="仿宋_GB2312" w:hAnsi="仿宋_GB2312" w:eastAsia="仿宋_GB2312" w:cs="仿宋_GB2312"/>
          <w:color w:val="auto"/>
          <w:sz w:val="32"/>
          <w:szCs w:val="32"/>
        </w:rPr>
        <w:t>%。决算数小于预算数的主要原因：</w:t>
      </w:r>
      <w:r>
        <w:rPr>
          <w:rFonts w:hint="eastAsia" w:ascii="仿宋_GB2312" w:hAnsi="仿宋_GB2312" w:eastAsia="仿宋_GB2312" w:cs="仿宋_GB2312"/>
          <w:color w:val="auto"/>
          <w:sz w:val="32"/>
          <w:szCs w:val="32"/>
          <w:lang w:eastAsia="zh-CN"/>
        </w:rPr>
        <w:t>部分项目年末未完工验收，支付未完成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color w:val="auto"/>
          <w:sz w:val="32"/>
          <w:szCs w:val="32"/>
        </w:rPr>
        <w:t>农林水支出（类）农村综合改革（款）对村民委员会和村党支部的补助（项）。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59.86</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99.77</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预算数</w:t>
      </w:r>
      <w:r>
        <w:rPr>
          <w:rFonts w:hint="eastAsia" w:ascii="仿宋_GB2312" w:hAnsi="仿宋_GB2312" w:eastAsia="仿宋_GB2312" w:cs="仿宋_GB2312"/>
          <w:color w:val="auto"/>
          <w:sz w:val="32"/>
          <w:szCs w:val="32"/>
          <w:lang w:eastAsia="zh-CN"/>
        </w:rPr>
        <w:t>基本持</w:t>
      </w:r>
      <w:r>
        <w:rPr>
          <w:rFonts w:hint="eastAsia" w:ascii="仿宋_GB2312" w:hAnsi="仿宋_GB2312" w:eastAsia="仿宋_GB2312" w:cs="仿宋_GB2312"/>
          <w:sz w:val="32"/>
          <w:szCs w:val="32"/>
          <w:lang w:eastAsia="zh-CN"/>
        </w:rPr>
        <w:t>平</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交通运输支出（类）公路水路运输（款）行政运行（项）。</w:t>
      </w:r>
      <w:r>
        <w:rPr>
          <w:rFonts w:hint="eastAsia" w:ascii="仿宋_GB2312" w:hAnsi="仿宋_GB2312" w:eastAsia="仿宋_GB2312" w:cs="仿宋_GB2312"/>
          <w:sz w:val="32"/>
          <w:szCs w:val="32"/>
        </w:rPr>
        <w:t>年初预</w:t>
      </w:r>
      <w:r>
        <w:rPr>
          <w:rFonts w:hint="eastAsia" w:ascii="仿宋_GB2312" w:hAnsi="仿宋_GB2312" w:eastAsia="仿宋_GB2312" w:cs="仿宋_GB2312"/>
          <w:color w:val="auto"/>
          <w:sz w:val="32"/>
          <w:szCs w:val="32"/>
        </w:rPr>
        <w:t>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万元。决算数大于预算数的主要原因：</w:t>
      </w:r>
      <w:r>
        <w:rPr>
          <w:rFonts w:hint="eastAsia" w:ascii="仿宋_GB2312" w:hAnsi="仿宋_GB2312" w:eastAsia="仿宋_GB2312" w:cs="仿宋_GB2312"/>
          <w:color w:val="auto"/>
          <w:sz w:val="32"/>
          <w:szCs w:val="32"/>
          <w:lang w:eastAsia="zh-CN"/>
        </w:rPr>
        <w:t>年初预算未单独列示，在</w:t>
      </w:r>
      <w:r>
        <w:rPr>
          <w:rFonts w:hint="eastAsia" w:ascii="仿宋_GB2312" w:hAnsi="仿宋_GB2312" w:eastAsia="仿宋_GB2312" w:cs="仿宋_GB2312"/>
          <w:b w:val="0"/>
          <w:bCs/>
          <w:color w:val="auto"/>
          <w:sz w:val="32"/>
          <w:szCs w:val="32"/>
        </w:rPr>
        <w:t>政府办公厅（室）及相关机构事务（款）行政运行（项）</w:t>
      </w:r>
      <w:r>
        <w:rPr>
          <w:rFonts w:hint="eastAsia" w:ascii="仿宋_GB2312" w:hAnsi="仿宋_GB2312" w:eastAsia="仿宋_GB2312" w:cs="仿宋_GB2312"/>
          <w:b w:val="0"/>
          <w:bCs/>
          <w:color w:val="auto"/>
          <w:sz w:val="32"/>
          <w:szCs w:val="32"/>
          <w:lang w:eastAsia="zh-CN"/>
        </w:rPr>
        <w:t>中统一预算</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住房保障支出（类）住房改革支出（款）住房公积金（项）。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140.41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140.41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预算数</w:t>
      </w:r>
      <w:r>
        <w:rPr>
          <w:rFonts w:hint="eastAsia" w:ascii="仿宋_GB2312" w:hAnsi="仿宋_GB2312" w:eastAsia="仿宋_GB2312" w:cs="仿宋_GB2312"/>
          <w:sz w:val="32"/>
          <w:szCs w:val="32"/>
          <w:lang w:eastAsia="zh-CN"/>
        </w:rPr>
        <w:t>持平</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住房保障支出（类）住房改革支出（款）购房补贴（项）。</w:t>
      </w:r>
      <w:r>
        <w:rPr>
          <w:rFonts w:hint="eastAsia" w:ascii="仿宋_GB2312" w:hAnsi="仿宋_GB2312" w:eastAsia="仿宋_GB2312" w:cs="仿宋_GB2312"/>
          <w:sz w:val="32"/>
          <w:szCs w:val="32"/>
        </w:rPr>
        <w:t>年初预</w:t>
      </w:r>
      <w:r>
        <w:rPr>
          <w:rFonts w:hint="eastAsia" w:ascii="仿宋_GB2312" w:hAnsi="仿宋_GB2312" w:eastAsia="仿宋_GB2312" w:cs="仿宋_GB2312"/>
          <w:color w:val="auto"/>
          <w:sz w:val="32"/>
          <w:szCs w:val="32"/>
        </w:rPr>
        <w:t>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52.73</w:t>
      </w:r>
      <w:r>
        <w:rPr>
          <w:rFonts w:hint="eastAsia" w:ascii="仿宋_GB2312" w:hAnsi="仿宋_GB2312" w:eastAsia="仿宋_GB2312" w:cs="仿宋_GB2312"/>
          <w:color w:val="auto"/>
          <w:sz w:val="32"/>
          <w:szCs w:val="32"/>
        </w:rPr>
        <w:t>万元。决算数大于预算数的主要原因：</w:t>
      </w:r>
      <w:r>
        <w:rPr>
          <w:rFonts w:hint="eastAsia" w:ascii="仿宋_GB2312" w:hAnsi="仿宋_GB2312" w:eastAsia="仿宋_GB2312" w:cs="仿宋_GB2312"/>
          <w:color w:val="auto"/>
          <w:sz w:val="32"/>
          <w:szCs w:val="32"/>
          <w:lang w:eastAsia="zh-CN"/>
        </w:rPr>
        <w:t>年初预算未单独列示，在</w:t>
      </w:r>
      <w:r>
        <w:rPr>
          <w:rFonts w:hint="eastAsia" w:ascii="仿宋_GB2312" w:hAnsi="仿宋_GB2312" w:eastAsia="仿宋_GB2312" w:cs="仿宋_GB2312"/>
          <w:b w:val="0"/>
          <w:bCs/>
          <w:color w:val="auto"/>
          <w:sz w:val="32"/>
          <w:szCs w:val="32"/>
        </w:rPr>
        <w:t>政府办公厅（室）及相关机构事务（款）行政运行（项）</w:t>
      </w:r>
      <w:r>
        <w:rPr>
          <w:rFonts w:hint="eastAsia" w:ascii="仿宋_GB2312" w:hAnsi="仿宋_GB2312" w:eastAsia="仿宋_GB2312" w:cs="仿宋_GB2312"/>
          <w:b w:val="0"/>
          <w:bCs/>
          <w:color w:val="auto"/>
          <w:sz w:val="32"/>
          <w:szCs w:val="32"/>
          <w:lang w:eastAsia="zh-CN"/>
        </w:rPr>
        <w:t>中统一预算</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color w:val="auto"/>
          <w:sz w:val="32"/>
          <w:szCs w:val="32"/>
        </w:rPr>
        <w:t>粮油物资储备支出（类）重要商品储备（款）应急物资储备（项）。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预算数</w:t>
      </w:r>
      <w:r>
        <w:rPr>
          <w:rFonts w:hint="eastAsia" w:ascii="仿宋_GB2312" w:hAnsi="仿宋_GB2312" w:eastAsia="仿宋_GB2312" w:cs="仿宋_GB2312"/>
          <w:color w:val="auto"/>
          <w:sz w:val="32"/>
          <w:szCs w:val="32"/>
          <w:lang w:eastAsia="zh-CN"/>
        </w:rPr>
        <w:t>持平</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灾害防治及应急管理支出（类）消防救援事务（款）其他消防救援事务</w:t>
      </w:r>
      <w:r>
        <w:rPr>
          <w:rFonts w:hint="eastAsia" w:ascii="仿宋_GB2312" w:hAnsi="仿宋_GB2312" w:eastAsia="仿宋_GB2312" w:cs="仿宋_GB2312"/>
          <w:b/>
          <w:color w:val="auto"/>
          <w:sz w:val="32"/>
          <w:szCs w:val="32"/>
        </w:rPr>
        <w:t>支出（项）。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9.99</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99.9</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预算数</w:t>
      </w:r>
      <w:r>
        <w:rPr>
          <w:rFonts w:hint="eastAsia" w:ascii="仿宋_GB2312" w:hAnsi="仿宋_GB2312" w:eastAsia="仿宋_GB2312" w:cs="仿宋_GB2312"/>
          <w:color w:val="auto"/>
          <w:sz w:val="32"/>
          <w:szCs w:val="32"/>
          <w:lang w:eastAsia="zh-CN"/>
        </w:rPr>
        <w:t>基本持平</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年度财政拨款基本支出</w:t>
      </w:r>
      <w:r>
        <w:rPr>
          <w:rFonts w:hint="eastAsia" w:ascii="仿宋_GB2312" w:hAnsi="ˎ̥" w:eastAsia="仿宋_GB2312"/>
          <w:color w:val="000000" w:themeColor="text1"/>
          <w:sz w:val="32"/>
          <w:szCs w:val="32"/>
          <w:lang w:val="en-US"/>
          <w14:textFill>
            <w14:solidFill>
              <w14:schemeClr w14:val="tx1"/>
            </w14:solidFill>
          </w14:textFill>
        </w:rPr>
        <w:t>1,601.08</w:t>
      </w:r>
      <w:r>
        <w:rPr>
          <w:rFonts w:hint="eastAsia" w:ascii="仿宋_GB2312" w:hAnsi="ˎ̥" w:eastAsia="仿宋_GB2312"/>
          <w:color w:val="000000" w:themeColor="text1"/>
          <w:sz w:val="32"/>
          <w:szCs w:val="32"/>
          <w14:textFill>
            <w14:solidFill>
              <w14:schemeClr w14:val="tx1"/>
            </w14:solidFill>
          </w14:textFill>
        </w:rPr>
        <w:t>万元，其中：人员经费</w:t>
      </w:r>
      <w:r>
        <w:rPr>
          <w:rFonts w:ascii="仿宋_GB2312" w:hAnsi="ˎ̥" w:eastAsia="仿宋_GB2312"/>
          <w:color w:val="000000" w:themeColor="text1"/>
          <w:sz w:val="32"/>
          <w:szCs w:val="32"/>
          <w:lang w:val="en-US"/>
          <w14:textFill>
            <w14:solidFill>
              <w14:schemeClr w14:val="tx1"/>
            </w14:solidFill>
          </w14:textFill>
        </w:rPr>
        <w:t>1,512.31</w:t>
      </w:r>
      <w:r>
        <w:rPr>
          <w:rFonts w:hint="eastAsia" w:ascii="仿宋_GB2312" w:hAnsi="ˎ̥" w:eastAsia="仿宋_GB2312"/>
          <w:color w:val="000000" w:themeColor="text1"/>
          <w:sz w:val="32"/>
          <w:szCs w:val="32"/>
          <w14:textFill>
            <w14:solidFill>
              <w14:schemeClr w14:val="tx1"/>
            </w14:solidFill>
          </w14:textFill>
        </w:rPr>
        <w:t>万元，主要包括：工资福利支出中的基本工资、津贴补贴、奖金、机关事业单位基本养老保险缴费、职工基本医疗保险缴费、公务员医疗补助缴费、其他社会保障缴费、住房公积金、其他工资福利支出。公用经费</w:t>
      </w:r>
      <w:r>
        <w:rPr>
          <w:rFonts w:ascii="仿宋_GB2312" w:hAnsi="ˎ̥" w:eastAsia="仿宋_GB2312"/>
          <w:color w:val="000000" w:themeColor="text1"/>
          <w:sz w:val="32"/>
          <w:szCs w:val="32"/>
          <w:lang w:val="en-US"/>
          <w14:textFill>
            <w14:solidFill>
              <w14:schemeClr w14:val="tx1"/>
            </w14:solidFill>
          </w14:textFill>
        </w:rPr>
        <w:t>88.77</w:t>
      </w:r>
      <w:r>
        <w:rPr>
          <w:rFonts w:hint="eastAsia" w:ascii="仿宋_GB2312" w:hAnsi="ˎ̥" w:eastAsia="仿宋_GB2312"/>
          <w:color w:val="000000" w:themeColor="text1"/>
          <w:sz w:val="32"/>
          <w:szCs w:val="32"/>
          <w14:textFill>
            <w14:solidFill>
              <w14:schemeClr w14:val="tx1"/>
            </w14:solidFill>
          </w14:textFill>
        </w:rPr>
        <w:t>万元，主要包括：商品和服务支出中的办公费、电费、邮电费、差旅</w:t>
      </w:r>
      <w:r>
        <w:rPr>
          <w:rFonts w:hint="eastAsia" w:ascii="仿宋_GB2312" w:hAnsi="ˎ̥" w:eastAsia="仿宋_GB2312"/>
          <w:sz w:val="32"/>
          <w:szCs w:val="32"/>
        </w:rPr>
        <w:t>费、培训费、劳务费、工会经费、公务用车运行维护费、其他交通费用、其他商品和服务支出。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年度国有资本经营预算财政拨款支出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年度国有资本经营预算财政拨款支出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年度国有资本经营预算财政拨款支出年初预算为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sz w:val="32"/>
          <w:szCs w:val="32"/>
        </w:rPr>
        <w:t xml:space="preserve">    </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年度财政拨款“三公”经费支出预算为</w:t>
      </w:r>
      <w:r>
        <w:rPr>
          <w:rFonts w:hint="default" w:ascii="仿宋_GB2312" w:hAnsi="ˎ̥" w:eastAsia="仿宋_GB2312"/>
          <w:color w:val="000000" w:themeColor="text1"/>
          <w:sz w:val="32"/>
          <w:szCs w:val="32"/>
          <w:lang w:val="en-US"/>
          <w14:textFill>
            <w14:solidFill>
              <w14:schemeClr w14:val="tx1"/>
            </w14:solidFill>
          </w14:textFill>
        </w:rPr>
        <w:t>16.75</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16.75</w:t>
      </w:r>
      <w:r>
        <w:rPr>
          <w:rFonts w:hint="eastAsia" w:ascii="仿宋_GB2312" w:hAnsi="ˎ̥" w:eastAsia="仿宋_GB2312"/>
          <w:color w:val="000000" w:themeColor="text1"/>
          <w:sz w:val="32"/>
          <w:szCs w:val="32"/>
          <w14:textFill>
            <w14:solidFill>
              <w14:schemeClr w14:val="tx1"/>
            </w14:solidFill>
          </w14:textFill>
        </w:rPr>
        <w:t>万元，完成预算的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w:t>
      </w:r>
      <w:r>
        <w:rPr>
          <w:rFonts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color w:val="000000" w:themeColor="text1"/>
          <w:sz w:val="32"/>
          <w:szCs w:val="32"/>
          <w14:textFill>
            <w14:solidFill>
              <w14:schemeClr w14:val="tx1"/>
            </w14:solidFill>
          </w14:textFill>
        </w:rPr>
        <w:t>“三公”经费支出减少</w:t>
      </w:r>
      <w:r>
        <w:rPr>
          <w:rFonts w:hint="eastAsia" w:ascii="仿宋_GB2312" w:hAnsi="ˎ̥" w:eastAsia="仿宋_GB2312"/>
          <w:color w:val="000000" w:themeColor="text1"/>
          <w:sz w:val="32"/>
          <w:szCs w:val="32"/>
          <w:lang w:val="en-US" w:eastAsia="zh-CN"/>
          <w14:textFill>
            <w14:solidFill>
              <w14:schemeClr w14:val="tx1"/>
            </w14:solidFill>
          </w14:textFill>
        </w:rPr>
        <w:t>2.03</w:t>
      </w:r>
      <w:r>
        <w:rPr>
          <w:rFonts w:hint="eastAsia" w:ascii="仿宋_GB2312" w:hAnsi="ˎ̥" w:eastAsia="仿宋_GB2312"/>
          <w:color w:val="000000" w:themeColor="text1"/>
          <w:sz w:val="32"/>
          <w:szCs w:val="32"/>
          <w14:textFill>
            <w14:solidFill>
              <w14:schemeClr w14:val="tx1"/>
            </w14:solidFill>
          </w14:textFill>
        </w:rPr>
        <w:t>万元</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下降</w:t>
      </w:r>
      <w:r>
        <w:rPr>
          <w:rFonts w:hint="eastAsia" w:ascii="仿宋_GB2312" w:hAnsi="ˎ̥" w:eastAsia="仿宋_GB2312"/>
          <w:color w:val="000000" w:themeColor="text1"/>
          <w:sz w:val="32"/>
          <w:szCs w:val="32"/>
          <w:lang w:val="en-US" w:eastAsia="zh-CN"/>
          <w14:textFill>
            <w14:solidFill>
              <w14:schemeClr w14:val="tx1"/>
            </w14:solidFill>
          </w14:textFill>
        </w:rPr>
        <w:t>13.79</w:t>
      </w:r>
      <w:r>
        <w:rPr>
          <w:rFonts w:hint="eastAsia" w:ascii="仿宋_GB2312" w:hAnsi="ˎ̥" w:eastAsia="仿宋_GB2312"/>
          <w:color w:val="000000" w:themeColor="text1"/>
          <w:sz w:val="32"/>
          <w:szCs w:val="32"/>
          <w14:textFill>
            <w14:solidFill>
              <w14:schemeClr w14:val="tx1"/>
            </w14:solidFill>
          </w14:textFill>
        </w:rPr>
        <w:t>%，</w:t>
      </w:r>
      <w:r>
        <w:rPr>
          <w:rFonts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val="en-US" w:eastAsia="zh-CN"/>
          <w14:textFill>
            <w14:solidFill>
              <w14:schemeClr w14:val="tx1"/>
            </w14:solidFill>
          </w14:textFill>
        </w:rPr>
        <w:t>车辆日常维修开支减少</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 xml:space="preserve">   </w:t>
      </w:r>
      <w:r>
        <w:rPr>
          <w:rFonts w:hint="eastAsia" w:ascii="楷体" w:hAnsi="楷体" w:eastAsia="楷体" w:cs="楷体"/>
          <w:color w:val="000000" w:themeColor="text1"/>
          <w:sz w:val="32"/>
          <w:szCs w:val="32"/>
          <w14:textFill>
            <w14:solidFill>
              <w14:schemeClr w14:val="tx1"/>
            </w14:solidFill>
          </w14:textFill>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年度财政拨款“三公”经费支出决算中，因公出国（境）费支出决算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万元；公务用车购置及运行维护费支出决算</w:t>
      </w:r>
      <w:r>
        <w:rPr>
          <w:rFonts w:hint="default" w:ascii="仿宋_GB2312" w:hAnsi="ˎ̥" w:eastAsia="仿宋_GB2312"/>
          <w:color w:val="000000" w:themeColor="text1"/>
          <w:sz w:val="32"/>
          <w:szCs w:val="32"/>
          <w:lang w:val="en-US"/>
          <w14:textFill>
            <w14:solidFill>
              <w14:schemeClr w14:val="tx1"/>
            </w14:solidFill>
          </w14:textFill>
        </w:rPr>
        <w:t>16.75</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%；公务接待费支出决算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ˎ̥" w:eastAsia="仿宋_GB2312"/>
          <w:color w:val="000000" w:themeColor="text1"/>
          <w:sz w:val="32"/>
          <w:szCs w:val="32"/>
          <w14:textFill>
            <w14:solidFill>
              <w14:schemeClr w14:val="tx1"/>
            </w14:solidFill>
          </w14:textFill>
        </w:rPr>
      </w:pPr>
      <w:r>
        <w:drawing>
          <wp:inline distT="0" distB="0" distL="114300" distR="114300">
            <wp:extent cx="5149215" cy="2744470"/>
            <wp:effectExtent l="4445" t="4445" r="8890" b="13335"/>
            <wp:docPr id="4673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1.因公出国（境）费</w:t>
      </w:r>
      <w:r>
        <w:rPr>
          <w:rFonts w:hint="eastAsia" w:ascii="仿宋_GB2312" w:hAnsi="ˎ̥" w:eastAsia="仿宋_GB2312"/>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万元。全年安排因公出国（境）团组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个，因公出国（境）</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因公出国（境）费支出决算</w:t>
      </w:r>
      <w:r>
        <w:rPr>
          <w:rFonts w:hint="eastAsia" w:ascii="仿宋_GB2312" w:hAnsi="ˎ̥" w:eastAsia="仿宋_GB2312"/>
          <w:color w:val="000000" w:themeColor="text1"/>
          <w:sz w:val="32"/>
          <w:szCs w:val="32"/>
          <w:lang w:val="en-US" w:eastAsia="zh-CN"/>
          <w14:textFill>
            <w14:solidFill>
              <w14:schemeClr w14:val="tx1"/>
            </w14:solidFill>
          </w14:textFill>
        </w:rPr>
        <w:t>数</w:t>
      </w:r>
      <w:r>
        <w:rPr>
          <w:rFonts w:hint="eastAsia" w:ascii="仿宋_GB2312" w:hAnsi="ˎ̥" w:eastAsia="仿宋_GB2312"/>
          <w:color w:val="000000" w:themeColor="text1"/>
          <w:sz w:val="32"/>
          <w:szCs w:val="32"/>
          <w14:textFill>
            <w14:solidFill>
              <w14:schemeClr w14:val="tx1"/>
            </w14:solidFill>
          </w14:textFill>
        </w:rPr>
        <w:t>比预算数增加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highlight w:val="none"/>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color w:val="000000" w:themeColor="text1"/>
          <w:sz w:val="32"/>
          <w:szCs w:val="32"/>
          <w14:textFill>
            <w14:solidFill>
              <w14:schemeClr w14:val="tx1"/>
            </w14:solidFill>
          </w14:textFill>
        </w:rPr>
        <w:t>因公出国（境）费支出增加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 xml:space="preserve">    2.公务用车购置及运行维护费</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16.75</w:t>
      </w:r>
      <w:r>
        <w:rPr>
          <w:rFonts w:hint="eastAsia" w:ascii="仿宋_GB2312" w:hAnsi="ˎ̥" w:eastAsia="仿宋_GB2312"/>
          <w:color w:val="000000" w:themeColor="text1"/>
          <w:sz w:val="32"/>
          <w:szCs w:val="32"/>
          <w14:textFill>
            <w14:solidFill>
              <w14:schemeClr w14:val="tx1"/>
            </w14:solidFill>
          </w14:textFill>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公务用车购置</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万元，全年购置公务用车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辆，年末公务用车保有量</w:t>
      </w:r>
      <w:r>
        <w:rPr>
          <w:rFonts w:hint="eastAsia" w:ascii="仿宋_GB2312" w:hAnsi="ˎ̥" w:eastAsia="仿宋_GB2312"/>
          <w:color w:val="000000" w:themeColor="text1"/>
          <w:sz w:val="32"/>
          <w:szCs w:val="32"/>
          <w:lang w:val="en-US" w:eastAsia="zh-CN"/>
          <w14:textFill>
            <w14:solidFill>
              <w14:schemeClr w14:val="tx1"/>
            </w14:solidFill>
          </w14:textFill>
        </w:rPr>
        <w:t>6</w:t>
      </w:r>
      <w:r>
        <w:rPr>
          <w:rFonts w:hint="eastAsia" w:ascii="仿宋_GB2312" w:hAnsi="ˎ̥" w:eastAsia="仿宋_GB2312"/>
          <w:color w:val="000000" w:themeColor="text1"/>
          <w:sz w:val="32"/>
          <w:szCs w:val="32"/>
          <w14:textFill>
            <w14:solidFill>
              <w14:schemeClr w14:val="tx1"/>
            </w14:solidFill>
          </w14:textFill>
        </w:rPr>
        <w:t>辆。</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公务用车运行维护费</w:t>
      </w:r>
      <w:r>
        <w:rPr>
          <w:rFonts w:hint="eastAsia" w:ascii="仿宋_GB2312" w:hAnsi="ˎ̥" w:eastAsia="仿宋_GB2312"/>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16.75</w:t>
      </w:r>
      <w:r>
        <w:rPr>
          <w:rFonts w:hint="eastAsia" w:ascii="仿宋_GB2312" w:hAnsi="ˎ̥" w:eastAsia="仿宋_GB2312"/>
          <w:color w:val="000000" w:themeColor="text1"/>
          <w:sz w:val="32"/>
          <w:szCs w:val="32"/>
          <w14:textFill>
            <w14:solidFill>
              <w14:schemeClr w14:val="tx1"/>
            </w14:solidFill>
          </w14:textFill>
        </w:rPr>
        <w:t>万元，主要用于</w:t>
      </w:r>
      <w:r>
        <w:rPr>
          <w:rFonts w:hint="eastAsia" w:ascii="仿宋_GB2312" w:hAnsi="ˎ̥" w:eastAsia="仿宋_GB2312"/>
          <w:color w:val="000000" w:themeColor="text1"/>
          <w:sz w:val="32"/>
          <w:szCs w:val="32"/>
          <w:lang w:val="en-US" w:eastAsia="zh-CN"/>
          <w14:textFill>
            <w14:solidFill>
              <w14:schemeClr w14:val="tx1"/>
            </w14:solidFill>
          </w14:textFill>
        </w:rPr>
        <w:t>公务车日常运行维护、油料消耗、车辆保险等</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Cs/>
          <w:color w:val="000000" w:themeColor="text1"/>
          <w:sz w:val="32"/>
          <w:szCs w:val="32"/>
          <w14:textFill>
            <w14:solidFill>
              <w14:schemeClr w14:val="tx1"/>
            </w14:solidFill>
          </w14:textFill>
        </w:rPr>
        <w:t>公务用车购置及运行维护费支出决算数</w:t>
      </w:r>
      <w:r>
        <w:rPr>
          <w:rFonts w:hint="eastAsia" w:ascii="仿宋_GB2312" w:hAnsi="ˎ̥" w:eastAsia="仿宋_GB2312"/>
          <w:color w:val="000000" w:themeColor="text1"/>
          <w:sz w:val="32"/>
          <w:szCs w:val="32"/>
          <w14:textFill>
            <w14:solidFill>
              <w14:schemeClr w14:val="tx1"/>
            </w14:solidFill>
          </w14:textFill>
        </w:rPr>
        <w:t>比预算数增加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完成预算的100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bCs/>
          <w:color w:val="000000" w:themeColor="text1"/>
          <w:sz w:val="32"/>
          <w:szCs w:val="32"/>
          <w14:textFill>
            <w14:solidFill>
              <w14:schemeClr w14:val="tx1"/>
            </w14:solidFill>
          </w14:textFill>
        </w:rPr>
        <w:t>公务用车购置及运行维护费</w:t>
      </w:r>
      <w:r>
        <w:rPr>
          <w:rFonts w:hint="eastAsia" w:ascii="仿宋_GB2312" w:hAnsi="ˎ̥" w:eastAsia="仿宋_GB2312"/>
          <w:color w:val="000000" w:themeColor="text1"/>
          <w:sz w:val="32"/>
          <w:szCs w:val="32"/>
          <w14:textFill>
            <w14:solidFill>
              <w14:schemeClr w14:val="tx1"/>
            </w14:solidFill>
          </w14:textFill>
        </w:rPr>
        <w:t>支出减少</w:t>
      </w:r>
      <w:r>
        <w:rPr>
          <w:rFonts w:hint="eastAsia" w:ascii="仿宋_GB2312" w:hAnsi="ˎ̥" w:eastAsia="仿宋_GB2312"/>
          <w:color w:val="000000" w:themeColor="text1"/>
          <w:sz w:val="32"/>
          <w:szCs w:val="32"/>
          <w:lang w:val="en-US" w:eastAsia="zh-CN"/>
          <w14:textFill>
            <w14:solidFill>
              <w14:schemeClr w14:val="tx1"/>
            </w14:solidFill>
          </w14:textFill>
        </w:rPr>
        <w:t>2.03</w:t>
      </w:r>
      <w:r>
        <w:rPr>
          <w:rFonts w:hint="eastAsia" w:ascii="仿宋_GB2312" w:hAnsi="ˎ̥" w:eastAsia="仿宋_GB2312"/>
          <w:color w:val="000000" w:themeColor="text1"/>
          <w:sz w:val="32"/>
          <w:szCs w:val="32"/>
          <w14:textFill>
            <w14:solidFill>
              <w14:schemeClr w14:val="tx1"/>
            </w14:solidFill>
          </w14:textFill>
        </w:rPr>
        <w:t>万元</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下降</w:t>
      </w:r>
      <w:r>
        <w:rPr>
          <w:rFonts w:hint="eastAsia" w:ascii="仿宋_GB2312" w:hAnsi="ˎ̥" w:eastAsia="仿宋_GB2312"/>
          <w:color w:val="000000" w:themeColor="text1"/>
          <w:sz w:val="32"/>
          <w:szCs w:val="32"/>
          <w:lang w:val="en-US" w:eastAsia="zh-CN"/>
          <w14:textFill>
            <w14:solidFill>
              <w14:schemeClr w14:val="tx1"/>
            </w14:solidFill>
          </w14:textFill>
        </w:rPr>
        <w:t>13.79</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val="en-US" w:eastAsia="zh-CN"/>
          <w14:textFill>
            <w14:solidFill>
              <w14:schemeClr w14:val="tx1"/>
            </w14:solidFill>
          </w14:textFill>
        </w:rPr>
        <w:t>车辆日常维修开支减少</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sz w:val="32"/>
          <w:szCs w:val="32"/>
        </w:rPr>
        <w:t xml:space="preserve"> </w:t>
      </w:r>
      <w:r>
        <w:rPr>
          <w:rFonts w:hint="eastAsia" w:ascii="仿宋_GB2312" w:hAnsi="ˎ̥" w:eastAsia="仿宋_GB2312"/>
          <w:b/>
          <w:color w:val="000000" w:themeColor="text1"/>
          <w:sz w:val="32"/>
          <w:szCs w:val="32"/>
          <w14:textFill>
            <w14:solidFill>
              <w14:schemeClr w14:val="tx1"/>
            </w14:solidFill>
          </w14:textFill>
        </w:rPr>
        <w:t xml:space="preserve">   3.公务接待费</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国内接待费</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万元，国内公务接待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批次，接待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人次。</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bCs/>
          <w:color w:val="000000" w:themeColor="text1"/>
          <w:sz w:val="32"/>
          <w:szCs w:val="32"/>
          <w14:textFill>
            <w14:solidFill>
              <w14:schemeClr w14:val="tx1"/>
            </w14:solidFill>
          </w14:textFill>
        </w:rPr>
        <w:t>国（境）外接待费</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万元，国（境）外公务接待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批次，接待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公务接待费支出决算数比预算数增加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完成预算的0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bCs/>
          <w:color w:val="000000" w:themeColor="text1"/>
          <w:sz w:val="32"/>
          <w:szCs w:val="32"/>
          <w14:textFill>
            <w14:solidFill>
              <w14:schemeClr w14:val="tx1"/>
            </w14:solidFill>
          </w14:textFill>
        </w:rPr>
        <w:t>公务接待费</w:t>
      </w:r>
      <w:r>
        <w:rPr>
          <w:rFonts w:hint="eastAsia" w:ascii="仿宋_GB2312" w:hAnsi="ˎ̥" w:eastAsia="仿宋_GB2312"/>
          <w:color w:val="000000" w:themeColor="text1"/>
          <w:sz w:val="32"/>
          <w:szCs w:val="32"/>
          <w14:textFill>
            <w14:solidFill>
              <w14:schemeClr w14:val="tx1"/>
            </w14:solidFill>
          </w14:textFill>
        </w:rPr>
        <w:t>支出增加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ascii="仿宋_GB2312" w:hAnsi="ˎ̥" w:eastAsia="仿宋_GB2312"/>
          <w:color w:val="000000" w:themeColor="text1"/>
          <w:sz w:val="32"/>
          <w:szCs w:val="32"/>
          <w14:textFill>
            <w14:solidFill>
              <w14:schemeClr w14:val="tx1"/>
            </w14:solidFill>
          </w14:textFill>
        </w:rPr>
        <w:t>，增长</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根据财政预算绩效管理要求，根据预算管理要求，我部门组织对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共涉及资金811.97万元，占一般公共预算项目支出总额的100%</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共组织对</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811.97</w:t>
      </w:r>
      <w:r>
        <w:rPr>
          <w:rFonts w:hint="eastAsia" w:ascii="仿宋_GB2312" w:eastAsia="仿宋_GB2312"/>
          <w:color w:val="auto"/>
          <w:sz w:val="32"/>
          <w:szCs w:val="32"/>
          <w:lang w:bidi="ar"/>
        </w:rPr>
        <w:t>万元，政府性基金预算支出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万元，国有资本经营预算支出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r>
        <w:rPr>
          <w:rFonts w:hint="eastAsia" w:ascii="仿宋_GB2312" w:eastAsia="仿宋_GB2312"/>
          <w:color w:val="auto"/>
          <w:sz w:val="32"/>
          <w:szCs w:val="32"/>
        </w:rPr>
        <w:t>从评价情况来看，</w:t>
      </w:r>
      <w:r>
        <w:rPr>
          <w:rFonts w:hint="eastAsia" w:ascii="仿宋_GB2312" w:eastAsia="仿宋_GB2312"/>
          <w:color w:val="auto"/>
          <w:sz w:val="32"/>
          <w:szCs w:val="32"/>
          <w:lang w:eastAsia="zh-CN"/>
        </w:rPr>
        <w:t>项目立项程序规范完整，绩效目标设置合理，与实际需求相符，项目业务管理制度健全，质量管控措施有效，各项业务工作有效开展，项目财务管理制度完善，资金使用规范有效，项目预期的绩效目标完成率高，均达到了预期效果。完成质量达到标准要求，时效性强，效益显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（二）部门决算中项目绩效自评结果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我部门在部门决算中反映</w:t>
      </w:r>
      <w:r>
        <w:rPr>
          <w:rFonts w:hint="eastAsia" w:ascii="仿宋_GB2312" w:eastAsia="仿宋_GB2312"/>
          <w:sz w:val="32"/>
          <w:szCs w:val="32"/>
          <w:lang w:val="en-US" w:eastAsia="zh-CN"/>
        </w:rPr>
        <w:t>为民办实事经费</w:t>
      </w:r>
      <w:r>
        <w:rPr>
          <w:rFonts w:hint="eastAsia" w:ascii="仿宋_GB2312" w:eastAsia="仿宋_GB2312"/>
          <w:sz w:val="32"/>
          <w:szCs w:val="32"/>
        </w:rPr>
        <w:t>项目</w:t>
      </w:r>
      <w:r>
        <w:rPr>
          <w:rFonts w:hint="eastAsia" w:ascii="仿宋_GB2312" w:eastAsia="仿宋_GB2312"/>
          <w:sz w:val="32"/>
          <w:szCs w:val="32"/>
          <w:lang w:eastAsia="zh-CN"/>
        </w:rPr>
        <w:t>、</w:t>
      </w:r>
      <w:r>
        <w:rPr>
          <w:rFonts w:hint="eastAsia" w:ascii="仿宋_GB2312" w:eastAsia="仿宋_GB2312"/>
          <w:sz w:val="32"/>
          <w:szCs w:val="32"/>
          <w:lang w:val="en-US" w:eastAsia="zh-CN"/>
        </w:rPr>
        <w:t>基层政权建设资金</w:t>
      </w:r>
      <w:r>
        <w:rPr>
          <w:rFonts w:hint="eastAsia" w:ascii="仿宋_GB2312" w:eastAsia="仿宋_GB2312"/>
          <w:sz w:val="32"/>
          <w:szCs w:val="32"/>
        </w:rPr>
        <w:t>项目</w:t>
      </w:r>
      <w:r>
        <w:rPr>
          <w:rFonts w:hint="eastAsia" w:ascii="仿宋_GB2312" w:eastAsia="仿宋_GB2312"/>
          <w:color w:val="000000" w:themeColor="text1"/>
          <w:sz w:val="32"/>
          <w:szCs w:val="32"/>
          <w14:textFill>
            <w14:solidFill>
              <w14:schemeClr w14:val="tx1"/>
            </w14:solidFill>
          </w14:textFill>
        </w:rPr>
        <w:t>等</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个</w:t>
      </w:r>
      <w:r>
        <w:rPr>
          <w:rFonts w:hint="eastAsia" w:ascii="仿宋_GB2312" w:eastAsia="仿宋_GB2312"/>
          <w:sz w:val="32"/>
          <w:szCs w:val="32"/>
        </w:rPr>
        <w:t>项目绩效自评结果（包括项目绩效自评表和项目绩效自评报告）。</w:t>
      </w:r>
    </w:p>
    <w:p>
      <w:pPr>
        <w:keepNext w:val="0"/>
        <w:keepLines w:val="0"/>
        <w:pageBreakBefore w:val="0"/>
        <w:kinsoku/>
        <w:overflowPunct/>
        <w:topLinePunct w:val="0"/>
        <w:autoSpaceDE/>
        <w:autoSpaceDN/>
        <w:bidi w:val="0"/>
        <w:adjustRightInd/>
        <w:snapToGrid w:val="0"/>
        <w:spacing w:line="578"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具体如下：</w:t>
      </w:r>
    </w:p>
    <w:p>
      <w:pPr>
        <w:keepNext w:val="0"/>
        <w:keepLines w:val="0"/>
        <w:pageBreakBefore w:val="0"/>
        <w:kinsoku/>
        <w:overflowPunct/>
        <w:topLinePunct w:val="0"/>
        <w:autoSpaceDE/>
        <w:autoSpaceDN/>
        <w:bidi w:val="0"/>
        <w:adjustRightInd/>
        <w:snapToGrid w:val="0"/>
        <w:spacing w:line="578"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1.为民办实事经费</w:t>
      </w:r>
      <w:r>
        <w:rPr>
          <w:rFonts w:hint="eastAsia" w:ascii="仿宋_GB2312" w:eastAsia="仿宋_GB2312"/>
          <w:sz w:val="32"/>
          <w:szCs w:val="32"/>
        </w:rPr>
        <w:t>项目绩效自评报告：根据年初设定的绩效目标</w:t>
      </w:r>
      <w:r>
        <w:rPr>
          <w:rFonts w:hint="eastAsia" w:ascii="仿宋_GB2312" w:eastAsia="仿宋_GB2312"/>
          <w:color w:val="000000" w:themeColor="text1"/>
          <w:sz w:val="32"/>
          <w:szCs w:val="32"/>
          <w14:textFill>
            <w14:solidFill>
              <w14:schemeClr w14:val="tx1"/>
            </w14:solidFill>
          </w14:textFill>
        </w:rPr>
        <w:t>，项目绩效自评得分为</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分。全年预算数为</w:t>
      </w:r>
      <w:r>
        <w:rPr>
          <w:rFonts w:hint="eastAsia" w:ascii="仿宋_GB2312" w:eastAsia="仿宋_GB2312"/>
          <w:color w:val="000000" w:themeColor="text1"/>
          <w:sz w:val="32"/>
          <w:szCs w:val="32"/>
          <w:lang w:val="en-US" w:eastAsia="zh-CN"/>
          <w14:textFill>
            <w14:solidFill>
              <w14:schemeClr w14:val="tx1"/>
            </w14:solidFill>
          </w14:textFill>
        </w:rPr>
        <w:t>90</w:t>
      </w:r>
      <w:r>
        <w:rPr>
          <w:rFonts w:hint="eastAsia" w:ascii="仿宋_GB2312" w:eastAsia="仿宋_GB2312"/>
          <w:color w:val="000000" w:themeColor="text1"/>
          <w:sz w:val="32"/>
          <w:szCs w:val="32"/>
          <w14:textFill>
            <w14:solidFill>
              <w14:schemeClr w14:val="tx1"/>
            </w14:solidFill>
          </w14:textFill>
        </w:rPr>
        <w:t>万元，执行数为</w:t>
      </w:r>
      <w:r>
        <w:rPr>
          <w:rFonts w:hint="eastAsia" w:ascii="仿宋_GB2312" w:eastAsia="仿宋_GB2312"/>
          <w:color w:val="000000" w:themeColor="text1"/>
          <w:sz w:val="32"/>
          <w:szCs w:val="32"/>
          <w:lang w:val="en-US" w:eastAsia="zh-CN"/>
          <w14:textFill>
            <w14:solidFill>
              <w14:schemeClr w14:val="tx1"/>
            </w14:solidFill>
          </w14:textFill>
        </w:rPr>
        <w:t>90</w:t>
      </w:r>
      <w:r>
        <w:rPr>
          <w:rFonts w:hint="eastAsia" w:ascii="仿宋_GB2312" w:eastAsia="仿宋_GB2312"/>
          <w:color w:val="000000" w:themeColor="text1"/>
          <w:sz w:val="32"/>
          <w:szCs w:val="32"/>
          <w14:textFill>
            <w14:solidFill>
              <w14:schemeClr w14:val="tx1"/>
            </w14:solidFill>
          </w14:textFill>
        </w:rPr>
        <w:t>万元，完成预算的</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%。项</w:t>
      </w:r>
      <w:r>
        <w:rPr>
          <w:rFonts w:hint="eastAsia" w:ascii="仿宋_GB2312" w:eastAsia="仿宋_GB2312"/>
          <w:sz w:val="32"/>
          <w:szCs w:val="32"/>
        </w:rPr>
        <w:t>目绩效目标完成情况：深入贯彻落实党的二十大、中央第七次西藏工作座谈会精神和县委、县政府决策部署，切实发挥财政资金使用效益，提升乡人民政府为民办实事能力，解决群众急难愁盼的民生问题，提升群众幸福感、安全感和获得感。</w:t>
      </w:r>
    </w:p>
    <w:p>
      <w:pPr>
        <w:keepNext w:val="0"/>
        <w:keepLines w:val="0"/>
        <w:pageBreakBefore w:val="0"/>
        <w:kinsoku/>
        <w:overflowPunct/>
        <w:topLinePunct w:val="0"/>
        <w:autoSpaceDE/>
        <w:autoSpaceDN/>
        <w:bidi w:val="0"/>
        <w:adjustRightInd/>
        <w:snapToGrid w:val="0"/>
        <w:spacing w:line="578" w:lineRule="exact"/>
        <w:ind w:firstLine="640" w:firstLineChars="200"/>
        <w:rPr>
          <w:rFonts w:hint="eastAsia" w:ascii="仿宋_GB2312" w:hAnsi="仿宋" w:eastAsia="仿宋_GB2312" w:cs="Times New Roman"/>
          <w:sz w:val="32"/>
          <w:szCs w:val="32"/>
          <w:highlight w:val="none"/>
          <w:lang w:val="en-US" w:eastAsia="zh-CN"/>
        </w:rPr>
      </w:pPr>
      <w:r>
        <w:rPr>
          <w:rFonts w:hint="eastAsia" w:ascii="仿宋_GB2312" w:eastAsia="仿宋_GB2312"/>
          <w:sz w:val="32"/>
          <w:szCs w:val="32"/>
        </w:rPr>
        <w:t>发现的主要问题及原因：</w:t>
      </w:r>
      <w:r>
        <w:rPr>
          <w:rFonts w:hint="eastAsia" w:ascii="仿宋_GB2312" w:hAnsi="仿宋" w:eastAsia="仿宋_GB2312" w:cs="Times New Roman"/>
          <w:sz w:val="32"/>
          <w:szCs w:val="32"/>
          <w:highlight w:val="none"/>
          <w:lang w:val="en-US" w:eastAsia="zh-CN"/>
        </w:rPr>
        <w:t>部分绩效指标设置存在不合理性。部分绩效指标与项目实际目标的关联性不够紧密，无法准确衡量项目实施的效果，一些绩效指标过于笼统，缺乏明确的量化标准，难以进行有效考核和评价。</w:t>
      </w:r>
    </w:p>
    <w:p>
      <w:pPr>
        <w:keepNext w:val="0"/>
        <w:keepLines w:val="0"/>
        <w:pageBreakBefore w:val="0"/>
        <w:numPr>
          <w:ilvl w:val="0"/>
          <w:numId w:val="0"/>
        </w:numPr>
        <w:kinsoku/>
        <w:overflowPunct/>
        <w:topLinePunct w:val="0"/>
        <w:autoSpaceDE/>
        <w:autoSpaceDN/>
        <w:bidi w:val="0"/>
        <w:adjustRightInd/>
        <w:snapToGrid w:val="0"/>
        <w:spacing w:line="578" w:lineRule="exact"/>
        <w:ind w:firstLine="640" w:firstLineChars="200"/>
        <w:rPr>
          <w:rFonts w:hint="default" w:ascii="仿宋_GB2312" w:hAnsi="仿宋" w:eastAsia="仿宋_GB2312" w:cs="Times New Roman"/>
          <w:sz w:val="32"/>
          <w:szCs w:val="32"/>
          <w:highlight w:val="none"/>
          <w:lang w:val="en-US" w:eastAsia="zh-CN"/>
        </w:rPr>
      </w:pPr>
      <w:r>
        <w:rPr>
          <w:rFonts w:hint="eastAsia" w:ascii="仿宋_GB2312" w:eastAsia="仿宋_GB2312"/>
          <w:sz w:val="32"/>
          <w:szCs w:val="32"/>
        </w:rPr>
        <w:t>下一步改进措施：</w:t>
      </w:r>
      <w:r>
        <w:rPr>
          <w:rFonts w:hint="eastAsia" w:ascii="仿宋_GB2312" w:hAnsi="仿宋" w:eastAsia="仿宋_GB2312" w:cs="Times New Roman"/>
          <w:b/>
          <w:bCs/>
          <w:sz w:val="32"/>
          <w:szCs w:val="32"/>
          <w:highlight w:val="none"/>
          <w:lang w:val="en-US" w:eastAsia="zh-CN"/>
        </w:rPr>
        <w:t>一是</w:t>
      </w:r>
      <w:r>
        <w:rPr>
          <w:rFonts w:hint="eastAsia" w:ascii="仿宋_GB2312" w:hAnsi="仿宋" w:eastAsia="仿宋_GB2312" w:cs="Times New Roman"/>
          <w:sz w:val="32"/>
          <w:szCs w:val="32"/>
          <w:highlight w:val="none"/>
          <w:lang w:val="en-US" w:eastAsia="zh-CN"/>
        </w:rPr>
        <w:t>优化资金支出进度管理。加强项目管理，加强项目前期准备工作，年初制定每月或每季度资金使用进度并严格执行；</w:t>
      </w:r>
      <w:r>
        <w:rPr>
          <w:rFonts w:hint="eastAsia" w:ascii="仿宋_GB2312" w:hAnsi="仿宋" w:eastAsia="仿宋_GB2312" w:cs="Times New Roman"/>
          <w:b/>
          <w:bCs/>
          <w:sz w:val="32"/>
          <w:szCs w:val="32"/>
          <w:highlight w:val="none"/>
          <w:lang w:val="en-US" w:eastAsia="zh-CN"/>
        </w:rPr>
        <w:t>二是</w:t>
      </w:r>
      <w:r>
        <w:rPr>
          <w:rFonts w:hint="eastAsia" w:ascii="仿宋_GB2312" w:hAnsi="仿宋" w:eastAsia="仿宋_GB2312" w:cs="Times New Roman"/>
          <w:sz w:val="32"/>
          <w:szCs w:val="32"/>
          <w:highlight w:val="none"/>
          <w:lang w:val="en-US" w:eastAsia="zh-CN"/>
        </w:rPr>
        <w:t>加强培训和学习。积极参与绩效指标设置相关的培训和学习活动，提高相关人员的专业知识和业务能力。</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5"/>
        <w:gridCol w:w="622"/>
        <w:gridCol w:w="785"/>
        <w:gridCol w:w="1185"/>
        <w:gridCol w:w="660"/>
        <w:gridCol w:w="615"/>
        <w:gridCol w:w="705"/>
        <w:gridCol w:w="645"/>
        <w:gridCol w:w="544"/>
        <w:gridCol w:w="1093"/>
        <w:gridCol w:w="535"/>
        <w:gridCol w:w="729"/>
        <w:gridCol w:w="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5000" w:type="pct"/>
            <w:gridSpan w:val="13"/>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28"/>
                <w:szCs w:val="28"/>
                <w:u w:val="none"/>
                <w:lang w:val="en-US" w:eastAsia="zh-CN" w:bidi="ar"/>
              </w:rPr>
              <w:t>为民办实事经费项目绩效自评表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533"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项目名称</w:t>
            </w:r>
            <w:r>
              <w:rPr>
                <w:rFonts w:hint="eastAsia" w:ascii="宋体" w:hAnsi="宋体" w:cs="宋体"/>
                <w:b/>
                <w:bCs/>
                <w:i w:val="0"/>
                <w:iCs w:val="0"/>
                <w:color w:val="000000"/>
                <w:kern w:val="0"/>
                <w:sz w:val="13"/>
                <w:szCs w:val="13"/>
                <w:u w:val="none"/>
                <w:lang w:val="en-US" w:eastAsia="zh-CN" w:bidi="ar"/>
              </w:rPr>
              <w:t>：</w:t>
            </w:r>
          </w:p>
        </w:tc>
        <w:tc>
          <w:tcPr>
            <w:tcW w:w="1451"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54042324T000001451447-为民办实事经费</w:t>
            </w:r>
          </w:p>
        </w:tc>
        <w:tc>
          <w:tcPr>
            <w:tcW w:w="33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项目负责人</w:t>
            </w:r>
            <w:r>
              <w:rPr>
                <w:rFonts w:hint="eastAsia" w:ascii="宋体" w:hAnsi="宋体" w:cs="宋体"/>
                <w:b/>
                <w:bCs/>
                <w:i w:val="0"/>
                <w:iCs w:val="0"/>
                <w:color w:val="000000"/>
                <w:kern w:val="0"/>
                <w:sz w:val="13"/>
                <w:szCs w:val="13"/>
                <w:u w:val="none"/>
                <w:lang w:val="en-US" w:eastAsia="zh-CN" w:bidi="ar"/>
              </w:rPr>
              <w:t>：</w:t>
            </w:r>
          </w:p>
        </w:tc>
        <w:tc>
          <w:tcPr>
            <w:tcW w:w="1648" w:type="pct"/>
            <w:gridSpan w:val="4"/>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索朗旺秋</w:t>
            </w:r>
          </w:p>
        </w:tc>
        <w:tc>
          <w:tcPr>
            <w:tcW w:w="295"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联系电话</w:t>
            </w:r>
            <w:r>
              <w:rPr>
                <w:rFonts w:hint="eastAsia" w:ascii="宋体" w:hAnsi="宋体" w:cs="宋体"/>
                <w:b/>
                <w:bCs/>
                <w:i w:val="0"/>
                <w:iCs w:val="0"/>
                <w:color w:val="000000"/>
                <w:kern w:val="0"/>
                <w:sz w:val="13"/>
                <w:szCs w:val="13"/>
                <w:u w:val="none"/>
                <w:lang w:val="en-US" w:eastAsia="zh-CN" w:bidi="ar"/>
              </w:rPr>
              <w:t>：</w:t>
            </w:r>
          </w:p>
        </w:tc>
        <w:tc>
          <w:tcPr>
            <w:tcW w:w="732"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13908947870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1" w:hRule="atLeast"/>
        </w:trPr>
        <w:tc>
          <w:tcPr>
            <w:tcW w:w="533" w:type="pct"/>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主管部门</w:t>
            </w:r>
            <w:r>
              <w:rPr>
                <w:rFonts w:hint="eastAsia" w:ascii="宋体" w:hAnsi="宋体" w:cs="宋体"/>
                <w:b/>
                <w:bCs/>
                <w:i w:val="0"/>
                <w:iCs w:val="0"/>
                <w:color w:val="000000"/>
                <w:kern w:val="0"/>
                <w:sz w:val="13"/>
                <w:szCs w:val="13"/>
                <w:u w:val="none"/>
                <w:lang w:val="en-US" w:eastAsia="zh-CN" w:bidi="ar"/>
              </w:rPr>
              <w:t>：</w:t>
            </w:r>
          </w:p>
        </w:tc>
        <w:tc>
          <w:tcPr>
            <w:tcW w:w="1451" w:type="pct"/>
            <w:gridSpan w:val="3"/>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333-墨脱县格当乡人民政府</w:t>
            </w:r>
          </w:p>
        </w:tc>
        <w:tc>
          <w:tcPr>
            <w:tcW w:w="339"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实施单位</w:t>
            </w:r>
            <w:r>
              <w:rPr>
                <w:rFonts w:hint="eastAsia" w:ascii="宋体" w:hAnsi="宋体" w:cs="宋体"/>
                <w:b/>
                <w:bCs/>
                <w:i w:val="0"/>
                <w:iCs w:val="0"/>
                <w:color w:val="000000"/>
                <w:kern w:val="0"/>
                <w:sz w:val="13"/>
                <w:szCs w:val="13"/>
                <w:u w:val="none"/>
                <w:lang w:val="en-US" w:eastAsia="zh-CN" w:bidi="ar"/>
              </w:rPr>
              <w:t>：</w:t>
            </w:r>
          </w:p>
        </w:tc>
        <w:tc>
          <w:tcPr>
            <w:tcW w:w="1648" w:type="pct"/>
            <w:gridSpan w:val="4"/>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333001-墨脱县格当乡人民政府机关</w:t>
            </w:r>
          </w:p>
        </w:tc>
        <w:tc>
          <w:tcPr>
            <w:tcW w:w="295" w:type="pct"/>
            <w:tcBorders>
              <w:top w:val="single" w:color="auto"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单位：元</w:t>
            </w:r>
          </w:p>
        </w:tc>
        <w:tc>
          <w:tcPr>
            <w:tcW w:w="732" w:type="pct"/>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53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资金构成</w:t>
            </w:r>
          </w:p>
        </w:tc>
        <w:tc>
          <w:tcPr>
            <w:tcW w:w="108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预算数</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执行数</w:t>
            </w:r>
          </w:p>
        </w:tc>
        <w:tc>
          <w:tcPr>
            <w:tcW w:w="389"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权重</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执行进度</w:t>
            </w:r>
          </w:p>
        </w:tc>
        <w:tc>
          <w:tcPr>
            <w:tcW w:w="90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得分</w:t>
            </w:r>
          </w:p>
        </w:tc>
        <w:tc>
          <w:tcPr>
            <w:tcW w:w="1027" w:type="pct"/>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53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资金总额</w:t>
            </w:r>
          </w:p>
        </w:tc>
        <w:tc>
          <w:tcPr>
            <w:tcW w:w="108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cs="宋体"/>
                <w:i w:val="0"/>
                <w:iCs w:val="0"/>
                <w:color w:val="000000"/>
                <w:kern w:val="0"/>
                <w:sz w:val="13"/>
                <w:szCs w:val="13"/>
                <w:u w:val="none"/>
                <w:lang w:val="en-US" w:eastAsia="zh-CN" w:bidi="ar"/>
              </w:rPr>
              <w:t>900000</w:t>
            </w:r>
            <w:r>
              <w:rPr>
                <w:rFonts w:hint="eastAsia" w:ascii="宋体" w:hAnsi="宋体" w:eastAsia="宋体" w:cs="宋体"/>
                <w:i w:val="0"/>
                <w:iCs w:val="0"/>
                <w:color w:val="000000"/>
                <w:kern w:val="0"/>
                <w:sz w:val="13"/>
                <w:szCs w:val="13"/>
                <w:u w:val="none"/>
                <w:lang w:val="en-US" w:eastAsia="zh-CN" w:bidi="ar"/>
              </w:rPr>
              <w:t xml:space="preserve"> </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3"/>
                <w:szCs w:val="13"/>
                <w:u w:val="none"/>
                <w:lang w:val="en-US"/>
              </w:rPr>
            </w:pPr>
            <w:r>
              <w:rPr>
                <w:rFonts w:hint="eastAsia" w:ascii="宋体" w:hAnsi="宋体" w:cs="宋体"/>
                <w:i w:val="0"/>
                <w:iCs w:val="0"/>
                <w:color w:val="000000"/>
                <w:kern w:val="0"/>
                <w:sz w:val="13"/>
                <w:szCs w:val="13"/>
                <w:u w:val="none"/>
                <w:lang w:val="en-US" w:eastAsia="zh-CN" w:bidi="ar"/>
              </w:rPr>
              <w:t>900000</w:t>
            </w:r>
            <w:r>
              <w:rPr>
                <w:rFonts w:hint="eastAsia" w:ascii="宋体" w:hAnsi="宋体" w:eastAsia="宋体" w:cs="宋体"/>
                <w:i w:val="0"/>
                <w:iCs w:val="0"/>
                <w:color w:val="000000"/>
                <w:kern w:val="0"/>
                <w:sz w:val="13"/>
                <w:szCs w:val="13"/>
                <w:u w:val="none"/>
                <w:lang w:val="en-US" w:eastAsia="zh-CN" w:bidi="ar"/>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cs="宋体"/>
                <w:i w:val="0"/>
                <w:iCs w:val="0"/>
                <w:color w:val="000000"/>
                <w:kern w:val="0"/>
                <w:sz w:val="13"/>
                <w:szCs w:val="13"/>
                <w:u w:val="none"/>
                <w:lang w:val="en-US" w:eastAsia="zh-CN" w:bidi="ar"/>
              </w:rPr>
              <w:t>10</w:t>
            </w:r>
            <w:r>
              <w:rPr>
                <w:rFonts w:hint="eastAsia" w:ascii="宋体" w:hAnsi="宋体" w:eastAsia="宋体" w:cs="宋体"/>
                <w:i w:val="0"/>
                <w:iCs w:val="0"/>
                <w:color w:val="000000"/>
                <w:kern w:val="0"/>
                <w:sz w:val="13"/>
                <w:szCs w:val="13"/>
                <w:u w:val="none"/>
                <w:lang w:val="en-US" w:eastAsia="zh-CN" w:bidi="ar"/>
              </w:rPr>
              <w:t>0%</w:t>
            </w:r>
          </w:p>
        </w:tc>
        <w:tc>
          <w:tcPr>
            <w:tcW w:w="90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3"/>
                <w:szCs w:val="13"/>
                <w:u w:val="none"/>
                <w:lang w:val="en-US"/>
              </w:rPr>
            </w:pPr>
            <w:r>
              <w:rPr>
                <w:rFonts w:hint="eastAsia" w:ascii="宋体" w:hAnsi="宋体" w:cs="宋体"/>
                <w:i w:val="0"/>
                <w:iCs w:val="0"/>
                <w:color w:val="000000"/>
                <w:kern w:val="0"/>
                <w:sz w:val="13"/>
                <w:szCs w:val="13"/>
                <w:u w:val="none"/>
                <w:lang w:val="en-US" w:eastAsia="zh-CN" w:bidi="ar"/>
              </w:rPr>
              <w:t>10</w:t>
            </w:r>
          </w:p>
        </w:tc>
        <w:tc>
          <w:tcPr>
            <w:tcW w:w="1027" w:type="pct"/>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53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其中：财政资金</w:t>
            </w:r>
          </w:p>
        </w:tc>
        <w:tc>
          <w:tcPr>
            <w:tcW w:w="108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cs="宋体"/>
                <w:i w:val="0"/>
                <w:iCs w:val="0"/>
                <w:color w:val="000000"/>
                <w:kern w:val="0"/>
                <w:sz w:val="13"/>
                <w:szCs w:val="13"/>
                <w:u w:val="none"/>
                <w:lang w:val="en-US" w:eastAsia="zh-CN" w:bidi="ar"/>
              </w:rPr>
              <w:t>900000</w:t>
            </w:r>
            <w:r>
              <w:rPr>
                <w:rFonts w:hint="eastAsia" w:ascii="宋体" w:hAnsi="宋体" w:eastAsia="宋体" w:cs="宋体"/>
                <w:i w:val="0"/>
                <w:iCs w:val="0"/>
                <w:color w:val="000000"/>
                <w:kern w:val="0"/>
                <w:sz w:val="13"/>
                <w:szCs w:val="13"/>
                <w:u w:val="none"/>
                <w:lang w:val="en-US" w:eastAsia="zh-CN" w:bidi="ar"/>
              </w:rPr>
              <w:t xml:space="preserve">  </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3"/>
                <w:szCs w:val="13"/>
                <w:u w:val="none"/>
                <w:lang w:val="en-US"/>
              </w:rPr>
            </w:pPr>
            <w:r>
              <w:rPr>
                <w:rFonts w:hint="eastAsia" w:ascii="宋体" w:hAnsi="宋体" w:cs="宋体"/>
                <w:i w:val="0"/>
                <w:iCs w:val="0"/>
                <w:color w:val="000000"/>
                <w:kern w:val="0"/>
                <w:sz w:val="13"/>
                <w:szCs w:val="13"/>
                <w:u w:val="none"/>
                <w:lang w:val="en-US" w:eastAsia="zh-CN" w:bidi="ar"/>
              </w:rPr>
              <w:t>900000</w:t>
            </w:r>
            <w:r>
              <w:rPr>
                <w:rFonts w:hint="eastAsia" w:ascii="宋体" w:hAnsi="宋体" w:eastAsia="宋体" w:cs="宋体"/>
                <w:i w:val="0"/>
                <w:iCs w:val="0"/>
                <w:color w:val="000000"/>
                <w:kern w:val="0"/>
                <w:sz w:val="13"/>
                <w:szCs w:val="13"/>
                <w:u w:val="none"/>
                <w:lang w:val="en-US" w:eastAsia="zh-CN" w:bidi="ar"/>
              </w:rPr>
              <w:t xml:space="preserve"> </w:t>
            </w:r>
          </w:p>
        </w:tc>
        <w:tc>
          <w:tcPr>
            <w:tcW w:w="389" w:type="pct"/>
            <w:tcBorders>
              <w:top w:val="single" w:color="000000" w:sz="4" w:space="0"/>
              <w:left w:val="single" w:color="000000" w:sz="4" w:space="0"/>
              <w:bottom w:val="single" w:color="000000" w:sz="4" w:space="0"/>
              <w:right w:val="nil"/>
            </w:tcBorders>
            <w:shd w:val="clear" w:color="auto" w:fill="FFFFFF"/>
            <w:vAlign w:val="center"/>
          </w:tcPr>
          <w:p>
            <w:pPr>
              <w:jc w:val="right"/>
              <w:rPr>
                <w:rFonts w:hint="default" w:ascii="宋体" w:hAnsi="宋体" w:eastAsia="宋体" w:cs="宋体"/>
                <w:i w:val="0"/>
                <w:iCs w:val="0"/>
                <w:color w:val="000000"/>
                <w:sz w:val="13"/>
                <w:szCs w:val="13"/>
                <w:u w:val="none"/>
                <w:lang w:val="en-US" w:eastAsia="zh-CN"/>
              </w:rPr>
            </w:pPr>
            <w:r>
              <w:rPr>
                <w:rFonts w:hint="eastAsia" w:ascii="宋体" w:hAnsi="宋体" w:cs="宋体"/>
                <w:i w:val="0"/>
                <w:iCs w:val="0"/>
                <w:color w:val="000000"/>
                <w:sz w:val="13"/>
                <w:szCs w:val="13"/>
                <w:u w:val="none"/>
                <w:lang w:val="en-US" w:eastAsia="zh-CN"/>
              </w:rPr>
              <w:t>10</w:t>
            </w:r>
          </w:p>
        </w:tc>
        <w:tc>
          <w:tcPr>
            <w:tcW w:w="355"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cs="宋体"/>
                <w:i w:val="0"/>
                <w:iCs w:val="0"/>
                <w:color w:val="000000"/>
                <w:kern w:val="0"/>
                <w:sz w:val="13"/>
                <w:szCs w:val="13"/>
                <w:u w:val="none"/>
                <w:lang w:val="en-US" w:eastAsia="zh-CN" w:bidi="ar"/>
              </w:rPr>
              <w:t>10</w:t>
            </w:r>
            <w:r>
              <w:rPr>
                <w:rFonts w:hint="eastAsia" w:ascii="宋体" w:hAnsi="宋体" w:eastAsia="宋体" w:cs="宋体"/>
                <w:i w:val="0"/>
                <w:iCs w:val="0"/>
                <w:color w:val="000000"/>
                <w:kern w:val="0"/>
                <w:sz w:val="13"/>
                <w:szCs w:val="13"/>
                <w:u w:val="none"/>
                <w:lang w:val="en-US" w:eastAsia="zh-CN" w:bidi="ar"/>
              </w:rPr>
              <w:t>0%</w:t>
            </w:r>
          </w:p>
        </w:tc>
        <w:tc>
          <w:tcPr>
            <w:tcW w:w="90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宋体" w:hAnsi="宋体" w:eastAsia="宋体" w:cs="宋体"/>
                <w:i w:val="0"/>
                <w:iCs w:val="0"/>
                <w:color w:val="000000"/>
                <w:sz w:val="13"/>
                <w:szCs w:val="13"/>
                <w:u w:val="none"/>
                <w:lang w:val="en-US" w:eastAsia="zh-CN"/>
              </w:rPr>
            </w:pPr>
            <w:r>
              <w:rPr>
                <w:rFonts w:hint="eastAsia" w:ascii="宋体" w:hAnsi="宋体" w:cs="宋体"/>
                <w:i w:val="0"/>
                <w:iCs w:val="0"/>
                <w:color w:val="000000"/>
                <w:sz w:val="13"/>
                <w:szCs w:val="13"/>
                <w:u w:val="none"/>
                <w:lang w:val="en-US" w:eastAsia="zh-CN"/>
              </w:rPr>
              <w:t>10</w:t>
            </w:r>
          </w:p>
        </w:tc>
        <w:tc>
          <w:tcPr>
            <w:tcW w:w="1027" w:type="pct"/>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53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财政专户管理资金</w:t>
            </w:r>
          </w:p>
        </w:tc>
        <w:tc>
          <w:tcPr>
            <w:tcW w:w="108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   </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   </w:t>
            </w:r>
          </w:p>
        </w:tc>
        <w:tc>
          <w:tcPr>
            <w:tcW w:w="389" w:type="pct"/>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13"/>
                <w:szCs w:val="13"/>
                <w:u w:val="none"/>
              </w:rPr>
            </w:pPr>
          </w:p>
        </w:tc>
        <w:tc>
          <w:tcPr>
            <w:tcW w:w="355" w:type="pct"/>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13"/>
                <w:szCs w:val="13"/>
                <w:u w:val="none"/>
              </w:rPr>
            </w:pPr>
          </w:p>
        </w:tc>
        <w:tc>
          <w:tcPr>
            <w:tcW w:w="90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3"/>
                <w:szCs w:val="13"/>
                <w:u w:val="none"/>
              </w:rPr>
            </w:pPr>
          </w:p>
        </w:tc>
        <w:tc>
          <w:tcPr>
            <w:tcW w:w="1027" w:type="pct"/>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53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单位资金</w:t>
            </w:r>
          </w:p>
        </w:tc>
        <w:tc>
          <w:tcPr>
            <w:tcW w:w="108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   </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   </w:t>
            </w:r>
          </w:p>
        </w:tc>
        <w:tc>
          <w:tcPr>
            <w:tcW w:w="389" w:type="pct"/>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13"/>
                <w:szCs w:val="13"/>
                <w:u w:val="none"/>
              </w:rPr>
            </w:pPr>
          </w:p>
        </w:tc>
        <w:tc>
          <w:tcPr>
            <w:tcW w:w="355" w:type="pct"/>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13"/>
                <w:szCs w:val="13"/>
                <w:u w:val="none"/>
              </w:rPr>
            </w:pPr>
          </w:p>
        </w:tc>
        <w:tc>
          <w:tcPr>
            <w:tcW w:w="90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3"/>
                <w:szCs w:val="13"/>
                <w:u w:val="none"/>
              </w:rPr>
            </w:pPr>
          </w:p>
        </w:tc>
        <w:tc>
          <w:tcPr>
            <w:tcW w:w="1027" w:type="pct"/>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0" w:hRule="atLeast"/>
        </w:trPr>
        <w:tc>
          <w:tcPr>
            <w:tcW w:w="53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年度目标</w:t>
            </w:r>
            <w:r>
              <w:rPr>
                <w:rFonts w:hint="eastAsia" w:ascii="宋体" w:hAnsi="宋体" w:cs="宋体"/>
                <w:b/>
                <w:bCs/>
                <w:i w:val="0"/>
                <w:iCs w:val="0"/>
                <w:color w:val="000000"/>
                <w:kern w:val="0"/>
                <w:sz w:val="13"/>
                <w:szCs w:val="13"/>
                <w:u w:val="none"/>
                <w:lang w:val="en-US" w:eastAsia="zh-CN" w:bidi="ar"/>
              </w:rPr>
              <w:t>：</w:t>
            </w:r>
          </w:p>
        </w:tc>
        <w:tc>
          <w:tcPr>
            <w:tcW w:w="4466" w:type="pct"/>
            <w:gridSpan w:val="11"/>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深入贯彻落实党的二十大、中央第七次西藏工作座谈会精神和县委、县政府决策部署，切实发挥财政资金使用效益，提升乡人民政府为民办实事能力，解决群众急难愁盼的民生问题，提升群众幸福感、安全感和获得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序号</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一级指标</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二级指标</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 xml:space="preserve"> 三级指标</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绩效指标性质</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绩效指标值</w:t>
            </w:r>
          </w:p>
        </w:tc>
        <w:tc>
          <w:tcPr>
            <w:tcW w:w="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绩效度量单位</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权重</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完成值</w:t>
            </w: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完成率</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得分</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偏差原因分析</w:t>
            </w: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数量指标</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服务群众数量</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500</w:t>
            </w:r>
          </w:p>
        </w:tc>
        <w:tc>
          <w:tcPr>
            <w:tcW w:w="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人</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600</w:t>
            </w: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数量指标</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开展为民办实事次数</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次</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质量指标</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解决群众诉求</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优良</w:t>
            </w:r>
          </w:p>
        </w:tc>
        <w:tc>
          <w:tcPr>
            <w:tcW w:w="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基本达成目标</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质量指标</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提升基础设施完善率</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优良</w:t>
            </w:r>
          </w:p>
        </w:tc>
        <w:tc>
          <w:tcPr>
            <w:tcW w:w="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基本达成目标</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时效指标</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及时解决群众诉求率</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85</w:t>
            </w:r>
          </w:p>
        </w:tc>
        <w:tc>
          <w:tcPr>
            <w:tcW w:w="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成本指标</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生态破坏率</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成本指标</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为民办实事经费</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3"/>
                <w:szCs w:val="13"/>
                <w:u w:val="none"/>
                <w:lang w:val="en-US" w:eastAsia="zh-CN"/>
              </w:rPr>
            </w:pPr>
            <w:r>
              <w:rPr>
                <w:rFonts w:hint="eastAsia" w:ascii="宋体" w:hAnsi="宋体" w:cs="宋体"/>
                <w:i w:val="0"/>
                <w:iCs w:val="0"/>
                <w:color w:val="000000"/>
                <w:sz w:val="13"/>
                <w:szCs w:val="13"/>
                <w:u w:val="none"/>
                <w:lang w:val="en-US" w:eastAsia="zh-CN"/>
              </w:rPr>
              <w:t>90</w:t>
            </w:r>
          </w:p>
        </w:tc>
        <w:tc>
          <w:tcPr>
            <w:tcW w:w="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万元</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3"/>
                <w:szCs w:val="13"/>
                <w:u w:val="none"/>
                <w:lang w:val="en-US"/>
              </w:rPr>
            </w:pPr>
            <w:r>
              <w:rPr>
                <w:rFonts w:hint="eastAsia" w:ascii="宋体" w:hAnsi="宋体" w:cs="宋体"/>
                <w:i w:val="0"/>
                <w:iCs w:val="0"/>
                <w:color w:val="000000"/>
                <w:kern w:val="0"/>
                <w:sz w:val="13"/>
                <w:szCs w:val="13"/>
                <w:u w:val="none"/>
                <w:lang w:val="en-US" w:eastAsia="zh-CN" w:bidi="ar"/>
              </w:rPr>
              <w:t>90</w:t>
            </w: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效益指标</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社会效益指标</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提升群众幸福感、安全感和获得感</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优良</w:t>
            </w:r>
          </w:p>
        </w:tc>
        <w:tc>
          <w:tcPr>
            <w:tcW w:w="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基本达成目标</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效益指标</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可持续发展指标</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提升乡人民政府为民办实事能力</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优良</w:t>
            </w:r>
          </w:p>
        </w:tc>
        <w:tc>
          <w:tcPr>
            <w:tcW w:w="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基本达成目标</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满意度指标</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服务对象满意度指标</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群众满意度</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90</w:t>
            </w:r>
          </w:p>
        </w:tc>
        <w:tc>
          <w:tcPr>
            <w:tcW w:w="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80</w:t>
            </w: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88.89%</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3"/>
                <w:szCs w:val="13"/>
                <w:u w:val="none"/>
              </w:rPr>
            </w:pPr>
          </w:p>
        </w:tc>
      </w:tr>
    </w:tbl>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bCs/>
          <w:sz w:val="32"/>
          <w:szCs w:val="32"/>
        </w:rPr>
      </w:pPr>
    </w:p>
    <w:p>
      <w:pPr>
        <w:keepNext w:val="0"/>
        <w:keepLines w:val="0"/>
        <w:pageBreakBefore w:val="0"/>
        <w:kinsoku/>
        <w:overflowPunct/>
        <w:topLinePunct w:val="0"/>
        <w:autoSpaceDE/>
        <w:autoSpaceDN/>
        <w:bidi w:val="0"/>
        <w:adjustRightInd/>
        <w:snapToGrid w:val="0"/>
        <w:spacing w:line="578"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2.基层政权建设资金</w:t>
      </w:r>
      <w:r>
        <w:rPr>
          <w:rFonts w:hint="eastAsia" w:ascii="仿宋_GB2312" w:eastAsia="仿宋_GB2312"/>
          <w:sz w:val="32"/>
          <w:szCs w:val="32"/>
        </w:rPr>
        <w:t>项目绩效自评报告：根据年初设定的绩效目标，</w:t>
      </w:r>
      <w:r>
        <w:rPr>
          <w:rFonts w:hint="eastAsia" w:ascii="仿宋_GB2312" w:eastAsia="仿宋_GB2312"/>
          <w:color w:val="000000" w:themeColor="text1"/>
          <w:sz w:val="32"/>
          <w:szCs w:val="32"/>
          <w14:textFill>
            <w14:solidFill>
              <w14:schemeClr w14:val="tx1"/>
            </w14:solidFill>
          </w14:textFill>
        </w:rPr>
        <w:t>项目绩效自评得分为</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分。全年预算数为</w:t>
      </w:r>
      <w:r>
        <w:rPr>
          <w:rFonts w:hint="eastAsia" w:ascii="仿宋_GB2312" w:eastAsia="仿宋_GB2312"/>
          <w:color w:val="000000" w:themeColor="text1"/>
          <w:sz w:val="32"/>
          <w:szCs w:val="32"/>
          <w:lang w:val="en-US" w:eastAsia="zh-CN"/>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万元，执行数为</w:t>
      </w:r>
      <w:r>
        <w:rPr>
          <w:rFonts w:hint="eastAsia" w:ascii="仿宋_GB2312" w:eastAsia="仿宋_GB2312"/>
          <w:color w:val="000000" w:themeColor="text1"/>
          <w:sz w:val="32"/>
          <w:szCs w:val="32"/>
          <w:lang w:val="en-US" w:eastAsia="zh-CN"/>
          <w14:textFill>
            <w14:solidFill>
              <w14:schemeClr w14:val="tx1"/>
            </w14:solidFill>
          </w14:textFill>
        </w:rPr>
        <w:t>19.92</w:t>
      </w:r>
      <w:r>
        <w:rPr>
          <w:rFonts w:hint="eastAsia" w:ascii="仿宋_GB2312" w:eastAsia="仿宋_GB2312"/>
          <w:color w:val="000000" w:themeColor="text1"/>
          <w:sz w:val="32"/>
          <w:szCs w:val="32"/>
          <w14:textFill>
            <w14:solidFill>
              <w14:schemeClr w14:val="tx1"/>
            </w14:solidFill>
          </w14:textFill>
        </w:rPr>
        <w:t>万元，完成预算的</w:t>
      </w:r>
      <w:r>
        <w:rPr>
          <w:rFonts w:hint="eastAsia" w:ascii="仿宋_GB2312" w:eastAsia="仿宋_GB2312"/>
          <w:color w:val="000000" w:themeColor="text1"/>
          <w:sz w:val="32"/>
          <w:szCs w:val="32"/>
          <w:lang w:val="en-US" w:eastAsia="zh-CN"/>
          <w14:textFill>
            <w14:solidFill>
              <w14:schemeClr w14:val="tx1"/>
            </w14:solidFill>
          </w14:textFill>
        </w:rPr>
        <w:t>99.59</w:t>
      </w:r>
      <w:r>
        <w:rPr>
          <w:rFonts w:hint="eastAsia" w:ascii="仿宋_GB2312" w:eastAsia="仿宋_GB2312"/>
          <w:color w:val="000000" w:themeColor="text1"/>
          <w:sz w:val="32"/>
          <w:szCs w:val="32"/>
          <w14:textFill>
            <w14:solidFill>
              <w14:schemeClr w14:val="tx1"/>
            </w14:solidFill>
          </w14:textFill>
        </w:rPr>
        <w:t>%。项目绩效目标</w:t>
      </w:r>
      <w:r>
        <w:rPr>
          <w:rFonts w:hint="eastAsia" w:ascii="仿宋_GB2312" w:eastAsia="仿宋_GB2312"/>
          <w:sz w:val="32"/>
          <w:szCs w:val="32"/>
        </w:rPr>
        <w:t>完成情况：改善我乡党委、政府、人大常委会机关办公条件及提升公共服务中心服务能力，加强基层组织建设，推动基层民主政治建设，构建共建共治共享的社会治理格局，有效提升我乡基层社会治理整体水平。</w:t>
      </w:r>
    </w:p>
    <w:p>
      <w:pPr>
        <w:keepNext w:val="0"/>
        <w:keepLines w:val="0"/>
        <w:pageBreakBefore w:val="0"/>
        <w:kinsoku/>
        <w:overflowPunct/>
        <w:topLinePunct w:val="0"/>
        <w:autoSpaceDE/>
        <w:autoSpaceDN/>
        <w:bidi w:val="0"/>
        <w:adjustRightInd/>
        <w:snapToGrid w:val="0"/>
        <w:spacing w:line="578" w:lineRule="exact"/>
        <w:ind w:firstLine="640" w:firstLineChars="200"/>
        <w:rPr>
          <w:rFonts w:hint="eastAsia" w:ascii="仿宋_GB2312" w:hAnsi="仿宋" w:eastAsia="仿宋_GB2312" w:cs="Times New Roman"/>
          <w:sz w:val="32"/>
          <w:szCs w:val="32"/>
          <w:highlight w:val="none"/>
          <w:lang w:val="en-US" w:eastAsia="zh-CN"/>
        </w:rPr>
      </w:pPr>
      <w:r>
        <w:rPr>
          <w:rFonts w:hint="eastAsia" w:ascii="仿宋_GB2312" w:eastAsia="仿宋_GB2312"/>
          <w:sz w:val="32"/>
          <w:szCs w:val="32"/>
        </w:rPr>
        <w:t>发现的主要问题及原因：</w:t>
      </w:r>
      <w:r>
        <w:rPr>
          <w:rFonts w:hint="eastAsia" w:ascii="仿宋_GB2312" w:hAnsi="仿宋" w:eastAsia="仿宋_GB2312" w:cs="Times New Roman"/>
          <w:sz w:val="32"/>
          <w:szCs w:val="32"/>
          <w:highlight w:val="none"/>
          <w:lang w:val="en-US" w:eastAsia="zh-CN"/>
        </w:rPr>
        <w:t>资金支出进度与年初预算不一致。资金支出进度未能按照年初预算的计划有序推进，在某些月份或季度出现支出进度过快或过慢的情况，导致大量资金积压，而在预算后期为完成支出任务，出现集中支付现象，使得资金使用缺乏均衡性和计划性。</w:t>
      </w:r>
    </w:p>
    <w:p>
      <w:pPr>
        <w:keepNext w:val="0"/>
        <w:keepLines w:val="0"/>
        <w:pageBreakBefore w:val="0"/>
        <w:numPr>
          <w:ilvl w:val="0"/>
          <w:numId w:val="0"/>
        </w:numPr>
        <w:kinsoku/>
        <w:overflowPunct/>
        <w:topLinePunct w:val="0"/>
        <w:autoSpaceDE/>
        <w:autoSpaceDN/>
        <w:bidi w:val="0"/>
        <w:adjustRightInd/>
        <w:snapToGrid w:val="0"/>
        <w:spacing w:line="578" w:lineRule="exact"/>
        <w:ind w:firstLine="640" w:firstLineChars="200"/>
        <w:rPr>
          <w:rFonts w:hint="default" w:ascii="仿宋_GB2312" w:hAnsi="仿宋" w:eastAsia="仿宋_GB2312" w:cs="Times New Roman"/>
          <w:sz w:val="32"/>
          <w:szCs w:val="32"/>
          <w:highlight w:val="none"/>
          <w:lang w:val="en-US" w:eastAsia="zh-CN"/>
        </w:rPr>
      </w:pPr>
      <w:r>
        <w:rPr>
          <w:rFonts w:hint="eastAsia" w:ascii="仿宋_GB2312" w:eastAsia="仿宋_GB2312"/>
          <w:sz w:val="32"/>
          <w:szCs w:val="32"/>
        </w:rPr>
        <w:t>下一步改进措施：</w:t>
      </w:r>
      <w:r>
        <w:rPr>
          <w:rFonts w:hint="eastAsia" w:ascii="仿宋_GB2312" w:hAnsi="仿宋" w:eastAsia="仿宋_GB2312" w:cs="Times New Roman"/>
          <w:sz w:val="32"/>
          <w:szCs w:val="32"/>
          <w:highlight w:val="none"/>
          <w:lang w:val="en-US" w:eastAsia="zh-CN"/>
        </w:rPr>
        <w:t>强化沟通协调机制。加强财务部门与业务部门之间的沟通协调，定期召开预算执行通报会议，及时通报预算执行情况，协调解决预算执行过程中出现的问题。</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bCs/>
          <w:sz w:val="32"/>
          <w:szCs w:val="32"/>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7"/>
        <w:gridCol w:w="744"/>
        <w:gridCol w:w="496"/>
        <w:gridCol w:w="1104"/>
        <w:gridCol w:w="959"/>
        <w:gridCol w:w="685"/>
        <w:gridCol w:w="642"/>
        <w:gridCol w:w="651"/>
        <w:gridCol w:w="486"/>
        <w:gridCol w:w="877"/>
        <w:gridCol w:w="593"/>
        <w:gridCol w:w="879"/>
        <w:gridCol w:w="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5000" w:type="pct"/>
            <w:gridSpan w:val="13"/>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28"/>
                <w:szCs w:val="28"/>
                <w:u w:val="none"/>
                <w:lang w:val="en-US" w:eastAsia="zh-CN" w:bidi="ar"/>
              </w:rPr>
              <w:t>基层政权建设资金项目绩效自评表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602"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项目名称</w:t>
            </w:r>
            <w:r>
              <w:rPr>
                <w:rFonts w:hint="eastAsia" w:ascii="宋体" w:hAnsi="宋体" w:cs="宋体"/>
                <w:b/>
                <w:bCs/>
                <w:i w:val="0"/>
                <w:iCs w:val="0"/>
                <w:color w:val="000000"/>
                <w:kern w:val="0"/>
                <w:sz w:val="13"/>
                <w:szCs w:val="13"/>
                <w:u w:val="none"/>
                <w:lang w:val="en-US" w:eastAsia="zh-CN" w:bidi="ar"/>
              </w:rPr>
              <w:t>：</w:t>
            </w:r>
          </w:p>
        </w:tc>
        <w:tc>
          <w:tcPr>
            <w:tcW w:w="1413"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54042324T000001447962-基层政权建设资金</w:t>
            </w:r>
          </w:p>
        </w:tc>
        <w:tc>
          <w:tcPr>
            <w:tcW w:w="37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项目负责人</w:t>
            </w:r>
            <w:r>
              <w:rPr>
                <w:rFonts w:hint="eastAsia" w:ascii="宋体" w:hAnsi="宋体" w:cs="宋体"/>
                <w:b/>
                <w:bCs/>
                <w:i w:val="0"/>
                <w:iCs w:val="0"/>
                <w:color w:val="000000"/>
                <w:kern w:val="0"/>
                <w:sz w:val="13"/>
                <w:szCs w:val="13"/>
                <w:u w:val="none"/>
                <w:lang w:val="en-US" w:eastAsia="zh-CN" w:bidi="ar"/>
              </w:rPr>
              <w:t>：</w:t>
            </w:r>
          </w:p>
        </w:tc>
        <w:tc>
          <w:tcPr>
            <w:tcW w:w="1465" w:type="pct"/>
            <w:gridSpan w:val="4"/>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2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联系电话</w:t>
            </w:r>
            <w:r>
              <w:rPr>
                <w:rFonts w:hint="eastAsia" w:ascii="宋体" w:hAnsi="宋体" w:cs="宋体"/>
                <w:b/>
                <w:bCs/>
                <w:i w:val="0"/>
                <w:iCs w:val="0"/>
                <w:color w:val="000000"/>
                <w:kern w:val="0"/>
                <w:sz w:val="13"/>
                <w:szCs w:val="13"/>
                <w:u w:val="none"/>
                <w:lang w:val="en-US" w:eastAsia="zh-CN" w:bidi="ar"/>
              </w:rPr>
              <w:t>：</w:t>
            </w:r>
          </w:p>
        </w:tc>
        <w:tc>
          <w:tcPr>
            <w:tcW w:w="812"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602" w:type="pct"/>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主管部门</w:t>
            </w:r>
            <w:r>
              <w:rPr>
                <w:rFonts w:hint="eastAsia" w:ascii="宋体" w:hAnsi="宋体" w:cs="宋体"/>
                <w:b/>
                <w:bCs/>
                <w:i w:val="0"/>
                <w:iCs w:val="0"/>
                <w:color w:val="000000"/>
                <w:kern w:val="0"/>
                <w:sz w:val="13"/>
                <w:szCs w:val="13"/>
                <w:u w:val="none"/>
                <w:lang w:val="en-US" w:eastAsia="zh-CN" w:bidi="ar"/>
              </w:rPr>
              <w:t>：</w:t>
            </w:r>
          </w:p>
        </w:tc>
        <w:tc>
          <w:tcPr>
            <w:tcW w:w="1413" w:type="pct"/>
            <w:gridSpan w:val="3"/>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333-墨脱县格当乡人民政府</w:t>
            </w:r>
          </w:p>
        </w:tc>
        <w:tc>
          <w:tcPr>
            <w:tcW w:w="377"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实施单位</w:t>
            </w:r>
            <w:r>
              <w:rPr>
                <w:rFonts w:hint="eastAsia" w:ascii="宋体" w:hAnsi="宋体" w:cs="宋体"/>
                <w:b/>
                <w:bCs/>
                <w:i w:val="0"/>
                <w:iCs w:val="0"/>
                <w:color w:val="000000"/>
                <w:kern w:val="0"/>
                <w:sz w:val="13"/>
                <w:szCs w:val="13"/>
                <w:u w:val="none"/>
                <w:lang w:val="en-US" w:eastAsia="zh-CN" w:bidi="ar"/>
              </w:rPr>
              <w:t>：</w:t>
            </w:r>
          </w:p>
        </w:tc>
        <w:tc>
          <w:tcPr>
            <w:tcW w:w="1465" w:type="pct"/>
            <w:gridSpan w:val="4"/>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333001-墨脱县格当乡人民政府机关</w:t>
            </w:r>
          </w:p>
        </w:tc>
        <w:tc>
          <w:tcPr>
            <w:tcW w:w="327" w:type="pct"/>
            <w:tcBorders>
              <w:top w:val="single" w:color="auto"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单位：元</w:t>
            </w:r>
          </w:p>
        </w:tc>
        <w:tc>
          <w:tcPr>
            <w:tcW w:w="812" w:type="pct"/>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60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资金构成</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预算数</w:t>
            </w:r>
          </w:p>
        </w:tc>
        <w:tc>
          <w:tcPr>
            <w:tcW w:w="90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执行数</w:t>
            </w:r>
          </w:p>
        </w:tc>
        <w:tc>
          <w:tcPr>
            <w:tcW w:w="354"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权重</w:t>
            </w:r>
          </w:p>
        </w:tc>
        <w:tc>
          <w:tcPr>
            <w:tcW w:w="3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执行进度</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得分</w:t>
            </w:r>
          </w:p>
        </w:tc>
        <w:tc>
          <w:tcPr>
            <w:tcW w:w="1140" w:type="pct"/>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60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资金总额</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200,000.00 </w:t>
            </w:r>
          </w:p>
        </w:tc>
        <w:tc>
          <w:tcPr>
            <w:tcW w:w="90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3"/>
                <w:szCs w:val="13"/>
                <w:u w:val="none"/>
                <w:lang w:val="en-US"/>
              </w:rPr>
            </w:pPr>
            <w:r>
              <w:rPr>
                <w:rFonts w:hint="eastAsia" w:ascii="宋体" w:hAnsi="宋体" w:cs="宋体"/>
                <w:i w:val="0"/>
                <w:iCs w:val="0"/>
                <w:color w:val="000000"/>
                <w:kern w:val="0"/>
                <w:sz w:val="13"/>
                <w:szCs w:val="13"/>
                <w:u w:val="none"/>
                <w:lang w:val="en-US" w:eastAsia="zh-CN" w:bidi="ar"/>
              </w:rPr>
              <w:t>199173.12</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3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3"/>
                <w:szCs w:val="13"/>
                <w:u w:val="none"/>
                <w:lang w:val="en-US"/>
              </w:rPr>
            </w:pPr>
            <w:r>
              <w:rPr>
                <w:rFonts w:hint="eastAsia" w:ascii="宋体" w:hAnsi="宋体" w:cs="宋体"/>
                <w:i w:val="0"/>
                <w:iCs w:val="0"/>
                <w:color w:val="000000"/>
                <w:kern w:val="0"/>
                <w:sz w:val="13"/>
                <w:szCs w:val="13"/>
                <w:u w:val="none"/>
                <w:lang w:val="en-US" w:eastAsia="zh-CN" w:bidi="ar"/>
              </w:rPr>
              <w:t>99.59</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1140" w:type="pct"/>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60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其中：财政资金</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200,000.00 </w:t>
            </w:r>
          </w:p>
        </w:tc>
        <w:tc>
          <w:tcPr>
            <w:tcW w:w="90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cs="宋体"/>
                <w:i w:val="0"/>
                <w:iCs w:val="0"/>
                <w:color w:val="000000"/>
                <w:kern w:val="0"/>
                <w:sz w:val="13"/>
                <w:szCs w:val="13"/>
                <w:u w:val="none"/>
                <w:lang w:val="en-US" w:eastAsia="zh-CN" w:bidi="ar"/>
              </w:rPr>
              <w:t>199173.2</w:t>
            </w:r>
            <w:r>
              <w:rPr>
                <w:rFonts w:hint="eastAsia" w:ascii="宋体" w:hAnsi="宋体" w:eastAsia="宋体" w:cs="宋体"/>
                <w:i w:val="0"/>
                <w:iCs w:val="0"/>
                <w:color w:val="000000"/>
                <w:kern w:val="0"/>
                <w:sz w:val="13"/>
                <w:szCs w:val="13"/>
                <w:u w:val="none"/>
                <w:lang w:val="en-US" w:eastAsia="zh-CN" w:bidi="ar"/>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3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3"/>
                <w:szCs w:val="13"/>
                <w:u w:val="none"/>
                <w:lang w:val="en-US"/>
              </w:rPr>
            </w:pPr>
            <w:r>
              <w:rPr>
                <w:rFonts w:hint="eastAsia" w:ascii="宋体" w:hAnsi="宋体" w:cs="宋体"/>
                <w:i w:val="0"/>
                <w:iCs w:val="0"/>
                <w:color w:val="000000"/>
                <w:kern w:val="0"/>
                <w:sz w:val="13"/>
                <w:szCs w:val="13"/>
                <w:u w:val="none"/>
                <w:lang w:val="en-US" w:eastAsia="zh-CN" w:bidi="ar"/>
              </w:rPr>
              <w:t>99.59</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1140" w:type="pct"/>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60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财政专户管理资金</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   </w:t>
            </w:r>
          </w:p>
        </w:tc>
        <w:tc>
          <w:tcPr>
            <w:tcW w:w="90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   </w:t>
            </w:r>
          </w:p>
        </w:tc>
        <w:tc>
          <w:tcPr>
            <w:tcW w:w="354" w:type="pct"/>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13"/>
                <w:szCs w:val="13"/>
                <w:u w:val="none"/>
              </w:rPr>
            </w:pPr>
          </w:p>
        </w:tc>
        <w:tc>
          <w:tcPr>
            <w:tcW w:w="359" w:type="pct"/>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13"/>
                <w:szCs w:val="13"/>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3"/>
                <w:szCs w:val="13"/>
                <w:u w:val="none"/>
              </w:rPr>
            </w:pPr>
          </w:p>
        </w:tc>
        <w:tc>
          <w:tcPr>
            <w:tcW w:w="1140" w:type="pct"/>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60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单位资金</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   </w:t>
            </w:r>
          </w:p>
        </w:tc>
        <w:tc>
          <w:tcPr>
            <w:tcW w:w="90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   </w:t>
            </w:r>
          </w:p>
        </w:tc>
        <w:tc>
          <w:tcPr>
            <w:tcW w:w="354" w:type="pct"/>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13"/>
                <w:szCs w:val="13"/>
                <w:u w:val="none"/>
              </w:rPr>
            </w:pPr>
          </w:p>
        </w:tc>
        <w:tc>
          <w:tcPr>
            <w:tcW w:w="359" w:type="pct"/>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13"/>
                <w:szCs w:val="13"/>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3"/>
                <w:szCs w:val="13"/>
                <w:u w:val="none"/>
              </w:rPr>
            </w:pPr>
          </w:p>
        </w:tc>
        <w:tc>
          <w:tcPr>
            <w:tcW w:w="1140" w:type="pct"/>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5" w:hRule="atLeast"/>
        </w:trPr>
        <w:tc>
          <w:tcPr>
            <w:tcW w:w="60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年度目标</w:t>
            </w:r>
            <w:r>
              <w:rPr>
                <w:rFonts w:hint="eastAsia" w:ascii="宋体" w:hAnsi="宋体" w:cs="宋体"/>
                <w:b/>
                <w:bCs/>
                <w:i w:val="0"/>
                <w:iCs w:val="0"/>
                <w:color w:val="000000"/>
                <w:kern w:val="0"/>
                <w:sz w:val="13"/>
                <w:szCs w:val="13"/>
                <w:u w:val="none"/>
                <w:lang w:val="en-US" w:eastAsia="zh-CN" w:bidi="ar"/>
              </w:rPr>
              <w:t>：</w:t>
            </w:r>
          </w:p>
        </w:tc>
        <w:tc>
          <w:tcPr>
            <w:tcW w:w="4397" w:type="pct"/>
            <w:gridSpan w:val="11"/>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改善我乡党委、政府、人大常委会机关办公条件及提升公共服务中心服务能力，加强基层组织建设，推动基层民主政治建设，构建共建共治共享的社会治理格局，有效提升我乡基层社会治理整体水平。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序号</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一级指标</w:t>
            </w:r>
          </w:p>
        </w:tc>
        <w:tc>
          <w:tcPr>
            <w:tcW w:w="2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二级指标</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 xml:space="preserve"> 三级指标</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绩效指标性质</w:t>
            </w:r>
          </w:p>
        </w:tc>
        <w:tc>
          <w:tcPr>
            <w:tcW w:w="3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绩效指标值</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绩效度量单位</w:t>
            </w:r>
          </w:p>
        </w:tc>
        <w:tc>
          <w:tcPr>
            <w:tcW w:w="3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完成值</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完成率</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得分</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偏差原因分析</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2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数量指标</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办公设施设备维修次数</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次</w:t>
            </w:r>
          </w:p>
        </w:tc>
        <w:tc>
          <w:tcPr>
            <w:tcW w:w="3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2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数量指标</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办公用品购买次数</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次</w:t>
            </w:r>
          </w:p>
        </w:tc>
        <w:tc>
          <w:tcPr>
            <w:tcW w:w="3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未购买</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2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质量指标</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办公设施设备维修质量</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w:t>
            </w:r>
          </w:p>
        </w:tc>
        <w:tc>
          <w:tcPr>
            <w:tcW w:w="3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部分实现目标</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2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质量指标</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提升基层组织工作能力</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w:t>
            </w:r>
          </w:p>
        </w:tc>
        <w:tc>
          <w:tcPr>
            <w:tcW w:w="3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部分实现目标</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2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时效指标</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解决群众反映问题及时率</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w:t>
            </w:r>
          </w:p>
        </w:tc>
        <w:tc>
          <w:tcPr>
            <w:tcW w:w="3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基本达成目标</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2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成本指标</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办公成本</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30000</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元</w:t>
            </w:r>
          </w:p>
        </w:tc>
        <w:tc>
          <w:tcPr>
            <w:tcW w:w="3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2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成本指标</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办公设施设备维修及其他成本</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170000</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元</w:t>
            </w:r>
          </w:p>
        </w:tc>
        <w:tc>
          <w:tcPr>
            <w:tcW w:w="3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效益指标</w:t>
            </w:r>
          </w:p>
        </w:tc>
        <w:tc>
          <w:tcPr>
            <w:tcW w:w="2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社会效益指标</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cs="宋体"/>
                <w:i w:val="0"/>
                <w:iCs w:val="0"/>
                <w:color w:val="000000"/>
                <w:kern w:val="0"/>
                <w:sz w:val="13"/>
                <w:szCs w:val="13"/>
                <w:u w:val="none"/>
                <w:lang w:val="en-US" w:eastAsia="zh-CN" w:bidi="ar"/>
              </w:rPr>
              <w:t>有效</w:t>
            </w:r>
            <w:r>
              <w:rPr>
                <w:rFonts w:hint="eastAsia" w:ascii="宋体" w:hAnsi="宋体" w:eastAsia="宋体" w:cs="宋体"/>
                <w:i w:val="0"/>
                <w:iCs w:val="0"/>
                <w:color w:val="000000"/>
                <w:kern w:val="0"/>
                <w:sz w:val="13"/>
                <w:szCs w:val="13"/>
                <w:u w:val="none"/>
                <w:lang w:val="en-US" w:eastAsia="zh-CN" w:bidi="ar"/>
              </w:rPr>
              <w:t>提升我乡基层社会治理整体水平</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w:t>
            </w:r>
          </w:p>
        </w:tc>
        <w:tc>
          <w:tcPr>
            <w:tcW w:w="3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基本达成目标</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效益指标</w:t>
            </w:r>
          </w:p>
        </w:tc>
        <w:tc>
          <w:tcPr>
            <w:tcW w:w="2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可持续发展指标</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持续推动基层民主政治建设</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w:t>
            </w:r>
          </w:p>
        </w:tc>
        <w:tc>
          <w:tcPr>
            <w:tcW w:w="3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基本达成目标</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满意度指标</w:t>
            </w:r>
          </w:p>
        </w:tc>
        <w:tc>
          <w:tcPr>
            <w:tcW w:w="2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服务对象满意度指标</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干部群众满意度</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3"/>
                <w:szCs w:val="13"/>
                <w:u w:val="none"/>
              </w:rPr>
            </w:pPr>
          </w:p>
        </w:tc>
      </w:tr>
    </w:tbl>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bCs/>
          <w:sz w:val="32"/>
          <w:szCs w:val="32"/>
        </w:rPr>
      </w:pPr>
    </w:p>
    <w:p>
      <w:pPr>
        <w:keepNext w:val="0"/>
        <w:keepLines w:val="0"/>
        <w:pageBreakBefore w:val="0"/>
        <w:kinsoku/>
        <w:overflowPunct/>
        <w:topLinePunct w:val="0"/>
        <w:autoSpaceDE/>
        <w:autoSpaceDN/>
        <w:bidi w:val="0"/>
        <w:adjustRightInd/>
        <w:snapToGrid w:val="0"/>
        <w:spacing w:line="578"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3.耕地保护经费</w:t>
      </w:r>
      <w:r>
        <w:rPr>
          <w:rFonts w:hint="eastAsia" w:ascii="仿宋_GB2312" w:eastAsia="仿宋_GB2312"/>
          <w:sz w:val="32"/>
          <w:szCs w:val="32"/>
        </w:rPr>
        <w:t>项目绩效自评报告：根据年初设定的绩效目标</w:t>
      </w:r>
      <w:r>
        <w:rPr>
          <w:rFonts w:hint="eastAsia" w:ascii="仿宋_GB2312" w:eastAsia="仿宋_GB2312"/>
          <w:color w:val="000000" w:themeColor="text1"/>
          <w:sz w:val="32"/>
          <w:szCs w:val="32"/>
          <w14:textFill>
            <w14:solidFill>
              <w14:schemeClr w14:val="tx1"/>
            </w14:solidFill>
          </w14:textFill>
        </w:rPr>
        <w:t>，项目绩效自评得分为</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分。全年预算数为</w:t>
      </w:r>
      <w:r>
        <w:rPr>
          <w:rFonts w:hint="eastAsia" w:ascii="仿宋_GB2312" w:eastAsia="仿宋_GB2312"/>
          <w:color w:val="000000" w:themeColor="text1"/>
          <w:sz w:val="32"/>
          <w:szCs w:val="32"/>
          <w:lang w:val="en-US" w:eastAsia="zh-CN"/>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万元，执行数为</w:t>
      </w:r>
      <w:r>
        <w:rPr>
          <w:rFonts w:hint="eastAsia" w:ascii="仿宋_GB2312" w:eastAsia="仿宋_GB2312"/>
          <w:color w:val="000000" w:themeColor="text1"/>
          <w:sz w:val="32"/>
          <w:szCs w:val="32"/>
          <w:lang w:val="en-US" w:eastAsia="zh-CN"/>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万元，完成预算的</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%。项</w:t>
      </w:r>
      <w:r>
        <w:rPr>
          <w:rFonts w:hint="eastAsia" w:ascii="仿宋_GB2312" w:eastAsia="仿宋_GB2312"/>
          <w:sz w:val="32"/>
          <w:szCs w:val="32"/>
        </w:rPr>
        <w:t>目绩效目标完成情况：耕地保护（复垦）经费，为强化耕地总量动态平衡，扎实推进占补平衡制度改革落地见效，牢守耕地保护红线，确保耕地总量不减少。</w:t>
      </w:r>
    </w:p>
    <w:p>
      <w:pPr>
        <w:keepNext w:val="0"/>
        <w:keepLines w:val="0"/>
        <w:pageBreakBefore w:val="0"/>
        <w:kinsoku/>
        <w:overflowPunct/>
        <w:topLinePunct w:val="0"/>
        <w:autoSpaceDE/>
        <w:autoSpaceDN/>
        <w:bidi w:val="0"/>
        <w:adjustRightInd/>
        <w:snapToGrid w:val="0"/>
        <w:spacing w:line="578" w:lineRule="exact"/>
        <w:ind w:firstLine="640" w:firstLineChars="200"/>
        <w:rPr>
          <w:rFonts w:hint="eastAsia" w:ascii="仿宋_GB2312" w:hAnsi="仿宋" w:eastAsia="仿宋_GB2312" w:cs="Times New Roman"/>
          <w:sz w:val="32"/>
          <w:szCs w:val="32"/>
          <w:highlight w:val="none"/>
          <w:lang w:val="en-US" w:eastAsia="zh-CN"/>
        </w:rPr>
      </w:pPr>
      <w:r>
        <w:rPr>
          <w:rFonts w:hint="eastAsia" w:ascii="仿宋_GB2312" w:eastAsia="仿宋_GB2312"/>
          <w:sz w:val="32"/>
          <w:szCs w:val="32"/>
        </w:rPr>
        <w:t>发现的主要问题及原因：</w:t>
      </w:r>
      <w:r>
        <w:rPr>
          <w:rFonts w:hint="eastAsia" w:ascii="仿宋_GB2312" w:hAnsi="仿宋" w:eastAsia="仿宋_GB2312" w:cs="Times New Roman"/>
          <w:sz w:val="32"/>
          <w:szCs w:val="32"/>
          <w:highlight w:val="none"/>
          <w:lang w:val="en-US" w:eastAsia="zh-CN"/>
        </w:rPr>
        <w:t>部分绩效指标设置存在不合理性。部分绩效指标与项目实际目标的关联性不够紧密，无法准确衡量项目实施的效果，一些绩效指标过于笼统，缺乏明确的量化标准，难以进行有效考核和评价。</w:t>
      </w:r>
    </w:p>
    <w:p>
      <w:pPr>
        <w:keepNext w:val="0"/>
        <w:keepLines w:val="0"/>
        <w:pageBreakBefore w:val="0"/>
        <w:numPr>
          <w:ilvl w:val="0"/>
          <w:numId w:val="0"/>
        </w:numPr>
        <w:kinsoku/>
        <w:overflowPunct/>
        <w:topLinePunct w:val="0"/>
        <w:autoSpaceDE/>
        <w:autoSpaceDN/>
        <w:bidi w:val="0"/>
        <w:adjustRightInd/>
        <w:snapToGrid w:val="0"/>
        <w:spacing w:line="578" w:lineRule="exact"/>
        <w:ind w:firstLine="640" w:firstLineChars="200"/>
        <w:rPr>
          <w:rFonts w:hint="default" w:ascii="仿宋_GB2312" w:hAnsi="仿宋" w:eastAsia="仿宋_GB2312" w:cs="Times New Roman"/>
          <w:sz w:val="32"/>
          <w:szCs w:val="32"/>
          <w:highlight w:val="none"/>
          <w:lang w:val="en-US" w:eastAsia="zh-CN"/>
        </w:rPr>
      </w:pPr>
      <w:r>
        <w:rPr>
          <w:rFonts w:hint="eastAsia" w:ascii="仿宋_GB2312" w:eastAsia="仿宋_GB2312"/>
          <w:sz w:val="32"/>
          <w:szCs w:val="32"/>
        </w:rPr>
        <w:t>下一步改进措施：</w:t>
      </w:r>
      <w:r>
        <w:rPr>
          <w:rFonts w:hint="eastAsia" w:ascii="仿宋_GB2312" w:hAnsi="仿宋" w:eastAsia="仿宋_GB2312" w:cs="Times New Roman"/>
          <w:b/>
          <w:bCs/>
          <w:sz w:val="32"/>
          <w:szCs w:val="32"/>
          <w:highlight w:val="none"/>
          <w:lang w:val="en-US" w:eastAsia="zh-CN"/>
        </w:rPr>
        <w:t>一是</w:t>
      </w:r>
      <w:r>
        <w:rPr>
          <w:rFonts w:hint="eastAsia" w:ascii="仿宋_GB2312" w:hAnsi="仿宋" w:eastAsia="仿宋_GB2312" w:cs="Times New Roman"/>
          <w:sz w:val="32"/>
          <w:szCs w:val="32"/>
          <w:highlight w:val="none"/>
          <w:lang w:val="en-US" w:eastAsia="zh-CN"/>
        </w:rPr>
        <w:t>优化资金支出进度管理。加强项目管理，加强项目前期准备工作，年初制定每月或每季度资金使用进度并严格执行；</w:t>
      </w:r>
      <w:r>
        <w:rPr>
          <w:rFonts w:hint="eastAsia" w:ascii="仿宋_GB2312" w:hAnsi="仿宋" w:eastAsia="仿宋_GB2312" w:cs="Times New Roman"/>
          <w:b/>
          <w:bCs/>
          <w:sz w:val="32"/>
          <w:szCs w:val="32"/>
          <w:highlight w:val="none"/>
          <w:lang w:val="en-US" w:eastAsia="zh-CN"/>
        </w:rPr>
        <w:t>二是</w:t>
      </w:r>
      <w:r>
        <w:rPr>
          <w:rFonts w:hint="eastAsia" w:ascii="仿宋_GB2312" w:hAnsi="仿宋" w:eastAsia="仿宋_GB2312" w:cs="Times New Roman"/>
          <w:sz w:val="32"/>
          <w:szCs w:val="32"/>
          <w:highlight w:val="none"/>
          <w:lang w:val="en-US" w:eastAsia="zh-CN"/>
        </w:rPr>
        <w:t>加强培训和学习。积极参与绩效指标设置相关的培训和学习活动，提高相关人员的专业知识和业务能力。</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6"/>
        <w:gridCol w:w="620"/>
        <w:gridCol w:w="1002"/>
        <w:gridCol w:w="926"/>
        <w:gridCol w:w="775"/>
        <w:gridCol w:w="753"/>
        <w:gridCol w:w="813"/>
        <w:gridCol w:w="712"/>
        <w:gridCol w:w="484"/>
        <w:gridCol w:w="770"/>
        <w:gridCol w:w="684"/>
        <w:gridCol w:w="690"/>
        <w:gridCol w:w="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gridSpan w:val="1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28"/>
                <w:szCs w:val="28"/>
                <w:u w:val="none"/>
                <w:lang w:val="en-US" w:eastAsia="zh-CN" w:bidi="ar"/>
              </w:rPr>
              <w:t>耕地保护经费项目绩效自评表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项目名称</w:t>
            </w:r>
            <w:r>
              <w:rPr>
                <w:rFonts w:hint="eastAsia" w:ascii="宋体" w:hAnsi="宋体" w:cs="宋体"/>
                <w:b/>
                <w:bCs/>
                <w:i w:val="0"/>
                <w:iCs w:val="0"/>
                <w:color w:val="000000"/>
                <w:kern w:val="0"/>
                <w:sz w:val="13"/>
                <w:szCs w:val="13"/>
                <w:u w:val="none"/>
                <w:lang w:val="en-US" w:eastAsia="zh-CN" w:bidi="ar"/>
              </w:rPr>
              <w:t>：</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54042324T000001856104-耕地保护经费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项目负责人</w:t>
            </w:r>
            <w:r>
              <w:rPr>
                <w:rFonts w:hint="eastAsia" w:ascii="宋体" w:hAnsi="宋体" w:cs="宋体"/>
                <w:b/>
                <w:bCs/>
                <w:i w:val="0"/>
                <w:iCs w:val="0"/>
                <w:color w:val="000000"/>
                <w:kern w:val="0"/>
                <w:sz w:val="13"/>
                <w:szCs w:val="13"/>
                <w:u w:val="none"/>
                <w:lang w:val="en-US" w:eastAsia="zh-CN" w:bidi="ar"/>
              </w:rPr>
              <w:t>：</w:t>
            </w: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联系电话</w:t>
            </w:r>
            <w:r>
              <w:rPr>
                <w:rFonts w:hint="eastAsia" w:ascii="宋体" w:hAnsi="宋体" w:cs="宋体"/>
                <w:b/>
                <w:bCs/>
                <w:i w:val="0"/>
                <w:iCs w:val="0"/>
                <w:color w:val="000000"/>
                <w:kern w:val="0"/>
                <w:sz w:val="13"/>
                <w:szCs w:val="13"/>
                <w:u w:val="none"/>
                <w:lang w:val="en-US" w:eastAsia="zh-CN" w:bidi="ar"/>
              </w:rPr>
              <w:t>：</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主管部门</w:t>
            </w:r>
            <w:r>
              <w:rPr>
                <w:rFonts w:hint="eastAsia" w:ascii="宋体" w:hAnsi="宋体" w:cs="宋体"/>
                <w:b/>
                <w:bCs/>
                <w:i w:val="0"/>
                <w:iCs w:val="0"/>
                <w:color w:val="000000"/>
                <w:kern w:val="0"/>
                <w:sz w:val="13"/>
                <w:szCs w:val="13"/>
                <w:u w:val="none"/>
                <w:lang w:val="en-US" w:eastAsia="zh-CN" w:bidi="ar"/>
              </w:rPr>
              <w:t>：</w:t>
            </w:r>
          </w:p>
        </w:tc>
        <w:tc>
          <w:tcPr>
            <w:tcW w:w="0" w:type="auto"/>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333-墨脱县格当乡人民政府</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实施单位</w:t>
            </w:r>
            <w:r>
              <w:rPr>
                <w:rFonts w:hint="eastAsia" w:ascii="宋体" w:hAnsi="宋体" w:cs="宋体"/>
                <w:b/>
                <w:bCs/>
                <w:i w:val="0"/>
                <w:iCs w:val="0"/>
                <w:color w:val="000000"/>
                <w:kern w:val="0"/>
                <w:sz w:val="13"/>
                <w:szCs w:val="13"/>
                <w:u w:val="none"/>
                <w:lang w:val="en-US" w:eastAsia="zh-CN" w:bidi="ar"/>
              </w:rPr>
              <w:t>：</w:t>
            </w:r>
          </w:p>
        </w:tc>
        <w:tc>
          <w:tcPr>
            <w:tcW w:w="0" w:type="auto"/>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333001-墨脱县格当乡人民政府机关</w:t>
            </w:r>
          </w:p>
        </w:tc>
        <w:tc>
          <w:tcPr>
            <w:tcW w:w="0" w:type="auto"/>
            <w:tcBorders>
              <w:top w:val="single" w:color="auto" w:sz="4" w:space="0"/>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单位：元</w:t>
            </w:r>
          </w:p>
        </w:tc>
        <w:tc>
          <w:tcPr>
            <w:tcW w:w="0" w:type="auto"/>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资金构成</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执行数</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执行进度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得分</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500,000.00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500,000.00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其中：财政资金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500,000.00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500,000.00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3"/>
                <w:szCs w:val="13"/>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hint="eastAsia" w:ascii="宋体" w:hAnsi="宋体" w:eastAsia="宋体" w:cs="宋体"/>
                <w:i w:val="0"/>
                <w:iCs w:val="0"/>
                <w:color w:val="000000"/>
                <w:sz w:val="13"/>
                <w:szCs w:val="13"/>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3"/>
                <w:szCs w:val="13"/>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hint="eastAsia" w:ascii="宋体" w:hAnsi="宋体" w:eastAsia="宋体" w:cs="宋体"/>
                <w:i w:val="0"/>
                <w:iCs w:val="0"/>
                <w:color w:val="000000"/>
                <w:sz w:val="13"/>
                <w:szCs w:val="13"/>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3"/>
                <w:szCs w:val="13"/>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年度目标</w:t>
            </w:r>
            <w:r>
              <w:rPr>
                <w:rFonts w:hint="eastAsia" w:ascii="宋体" w:hAnsi="宋体" w:cs="宋体"/>
                <w:b/>
                <w:bCs/>
                <w:i w:val="0"/>
                <w:iCs w:val="0"/>
                <w:color w:val="000000"/>
                <w:kern w:val="0"/>
                <w:sz w:val="13"/>
                <w:szCs w:val="13"/>
                <w:u w:val="none"/>
                <w:lang w:val="en-US" w:eastAsia="zh-CN" w:bidi="ar"/>
              </w:rPr>
              <w:t>：</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耕地保护（复垦）经费，为强化耕地总量动态平衡，扎实推进占补平衡制度改革落地见效，牢守耕地保护红线，确保耕地总量不减少。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 xml:space="preserve"> 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绩效指标性质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绩效指标值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绩效度量单位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偏差原因分析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保护村庄数量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座（处）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保护质量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基本达成目标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保护时效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基本达成目标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效果指标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保护成效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基本达成目标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耕地可持续发展率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耕地可持续影响率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总投资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r>
    </w:tbl>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bCs/>
          <w:sz w:val="32"/>
          <w:szCs w:val="32"/>
        </w:rPr>
      </w:pPr>
    </w:p>
    <w:p>
      <w:pPr>
        <w:keepNext w:val="0"/>
        <w:keepLines w:val="0"/>
        <w:pageBreakBefore w:val="0"/>
        <w:kinsoku/>
        <w:overflowPunct/>
        <w:topLinePunct w:val="0"/>
        <w:autoSpaceDE/>
        <w:autoSpaceDN/>
        <w:bidi w:val="0"/>
        <w:adjustRightInd/>
        <w:snapToGrid w:val="0"/>
        <w:spacing w:line="578"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4.村公房附属用房建设</w:t>
      </w:r>
      <w:r>
        <w:rPr>
          <w:rFonts w:hint="eastAsia" w:ascii="仿宋_GB2312" w:eastAsia="仿宋_GB2312"/>
          <w:sz w:val="32"/>
          <w:szCs w:val="32"/>
        </w:rPr>
        <w:t>项目绩效自评报告：根据年初设定的绩效目标</w:t>
      </w:r>
      <w:r>
        <w:rPr>
          <w:rFonts w:hint="eastAsia" w:ascii="仿宋_GB2312" w:eastAsia="仿宋_GB2312"/>
          <w:color w:val="000000" w:themeColor="text1"/>
          <w:sz w:val="32"/>
          <w:szCs w:val="32"/>
          <w14:textFill>
            <w14:solidFill>
              <w14:schemeClr w14:val="tx1"/>
            </w14:solidFill>
          </w14:textFill>
        </w:rPr>
        <w:t>，项目绩效自评得分为</w:t>
      </w:r>
      <w:r>
        <w:rPr>
          <w:rFonts w:hint="eastAsia" w:ascii="仿宋_GB2312" w:eastAsia="仿宋_GB2312"/>
          <w:color w:val="000000" w:themeColor="text1"/>
          <w:sz w:val="32"/>
          <w:szCs w:val="32"/>
          <w:lang w:val="en-US" w:eastAsia="zh-CN"/>
          <w14:textFill>
            <w14:solidFill>
              <w14:schemeClr w14:val="tx1"/>
            </w14:solidFill>
          </w14:textFill>
        </w:rPr>
        <w:t>99</w:t>
      </w:r>
      <w:r>
        <w:rPr>
          <w:rFonts w:hint="eastAsia" w:ascii="仿宋_GB2312" w:eastAsia="仿宋_GB2312"/>
          <w:color w:val="000000" w:themeColor="text1"/>
          <w:sz w:val="32"/>
          <w:szCs w:val="32"/>
          <w14:textFill>
            <w14:solidFill>
              <w14:schemeClr w14:val="tx1"/>
            </w14:solidFill>
          </w14:textFill>
        </w:rPr>
        <w:t>分。全年预算数为</w:t>
      </w:r>
      <w:r>
        <w:rPr>
          <w:rFonts w:hint="eastAsia" w:ascii="仿宋_GB2312" w:eastAsia="仿宋_GB2312"/>
          <w:color w:val="000000" w:themeColor="text1"/>
          <w:sz w:val="32"/>
          <w:szCs w:val="32"/>
          <w:lang w:val="en-US" w:eastAsia="zh-CN"/>
          <w14:textFill>
            <w14:solidFill>
              <w14:schemeClr w14:val="tx1"/>
            </w14:solidFill>
          </w14:textFill>
        </w:rPr>
        <w:t>167.99</w:t>
      </w:r>
      <w:r>
        <w:rPr>
          <w:rFonts w:hint="eastAsia" w:ascii="仿宋_GB2312" w:eastAsia="仿宋_GB2312"/>
          <w:color w:val="000000" w:themeColor="text1"/>
          <w:sz w:val="32"/>
          <w:szCs w:val="32"/>
          <w14:textFill>
            <w14:solidFill>
              <w14:schemeClr w14:val="tx1"/>
            </w14:solidFill>
          </w14:textFill>
        </w:rPr>
        <w:t>万元，执行数为</w:t>
      </w:r>
      <w:r>
        <w:rPr>
          <w:rFonts w:hint="eastAsia" w:ascii="仿宋_GB2312" w:eastAsia="仿宋_GB2312"/>
          <w:color w:val="000000" w:themeColor="text1"/>
          <w:sz w:val="32"/>
          <w:szCs w:val="32"/>
          <w:lang w:val="en-US" w:eastAsia="zh-CN"/>
          <w14:textFill>
            <w14:solidFill>
              <w14:schemeClr w14:val="tx1"/>
            </w14:solidFill>
          </w14:textFill>
        </w:rPr>
        <w:t>167.99</w:t>
      </w:r>
      <w:r>
        <w:rPr>
          <w:rFonts w:hint="eastAsia" w:ascii="仿宋_GB2312" w:eastAsia="仿宋_GB2312"/>
          <w:color w:val="000000" w:themeColor="text1"/>
          <w:sz w:val="32"/>
          <w:szCs w:val="32"/>
          <w14:textFill>
            <w14:solidFill>
              <w14:schemeClr w14:val="tx1"/>
            </w14:solidFill>
          </w14:textFill>
        </w:rPr>
        <w:t>万元，完成预算的</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%。项</w:t>
      </w:r>
      <w:r>
        <w:rPr>
          <w:rFonts w:hint="eastAsia" w:ascii="仿宋_GB2312" w:eastAsia="仿宋_GB2312"/>
          <w:sz w:val="32"/>
          <w:szCs w:val="32"/>
        </w:rPr>
        <w:t>目绩效目标完成情况：核定新建村公房540.14平方米及土石方工程、总体电气工程和总体给排水工程。</w:t>
      </w:r>
    </w:p>
    <w:p>
      <w:pPr>
        <w:keepNext w:val="0"/>
        <w:keepLines w:val="0"/>
        <w:pageBreakBefore w:val="0"/>
        <w:kinsoku/>
        <w:overflowPunct/>
        <w:topLinePunct w:val="0"/>
        <w:autoSpaceDE/>
        <w:autoSpaceDN/>
        <w:bidi w:val="0"/>
        <w:adjustRightInd/>
        <w:snapToGrid w:val="0"/>
        <w:spacing w:line="578" w:lineRule="exact"/>
        <w:ind w:firstLine="640" w:firstLineChars="200"/>
        <w:rPr>
          <w:rFonts w:hint="eastAsia" w:ascii="仿宋_GB2312" w:hAnsi="仿宋" w:eastAsia="仿宋_GB2312" w:cs="Times New Roman"/>
          <w:sz w:val="32"/>
          <w:szCs w:val="32"/>
          <w:highlight w:val="none"/>
          <w:lang w:val="en-US" w:eastAsia="zh-CN"/>
        </w:rPr>
      </w:pPr>
      <w:r>
        <w:rPr>
          <w:rFonts w:hint="eastAsia" w:ascii="仿宋_GB2312" w:eastAsia="仿宋_GB2312"/>
          <w:sz w:val="32"/>
          <w:szCs w:val="32"/>
        </w:rPr>
        <w:t>发现的主要问题及原因：</w:t>
      </w:r>
      <w:r>
        <w:rPr>
          <w:rFonts w:hint="eastAsia" w:ascii="仿宋_GB2312" w:hAnsi="仿宋" w:eastAsia="仿宋_GB2312" w:cs="Times New Roman"/>
          <w:sz w:val="32"/>
          <w:szCs w:val="32"/>
          <w:highlight w:val="none"/>
          <w:lang w:val="en-US" w:eastAsia="zh-CN"/>
        </w:rPr>
        <w:t>资金支出进度与年初预算不一致。资金支出进度未能按照年初预算的计划有序推进，在某些月份或季度出现支出进度过快或过慢的情况，导致大量资金积压，而在预算后期为完成支出任务，出现集中支付现象，使得资金使用缺乏均衡性和计划性。</w:t>
      </w:r>
    </w:p>
    <w:p>
      <w:pPr>
        <w:keepNext w:val="0"/>
        <w:keepLines w:val="0"/>
        <w:pageBreakBefore w:val="0"/>
        <w:numPr>
          <w:ilvl w:val="0"/>
          <w:numId w:val="0"/>
        </w:numPr>
        <w:kinsoku/>
        <w:overflowPunct/>
        <w:topLinePunct w:val="0"/>
        <w:autoSpaceDE/>
        <w:autoSpaceDN/>
        <w:bidi w:val="0"/>
        <w:adjustRightInd/>
        <w:snapToGrid w:val="0"/>
        <w:spacing w:line="578" w:lineRule="exact"/>
        <w:ind w:firstLine="640" w:firstLineChars="200"/>
        <w:rPr>
          <w:rFonts w:hint="default" w:ascii="仿宋_GB2312" w:hAnsi="仿宋" w:eastAsia="仿宋_GB2312" w:cs="Times New Roman"/>
          <w:sz w:val="32"/>
          <w:szCs w:val="32"/>
          <w:highlight w:val="none"/>
          <w:lang w:val="en-US" w:eastAsia="zh-CN"/>
        </w:rPr>
      </w:pPr>
      <w:r>
        <w:rPr>
          <w:rFonts w:hint="eastAsia" w:ascii="仿宋_GB2312" w:eastAsia="仿宋_GB2312"/>
          <w:sz w:val="32"/>
          <w:szCs w:val="32"/>
        </w:rPr>
        <w:t>下一步改进措施：</w:t>
      </w:r>
      <w:r>
        <w:rPr>
          <w:rFonts w:hint="eastAsia" w:ascii="仿宋_GB2312" w:hAnsi="仿宋" w:eastAsia="仿宋_GB2312" w:cs="Times New Roman"/>
          <w:b/>
          <w:bCs/>
          <w:sz w:val="32"/>
          <w:szCs w:val="32"/>
          <w:highlight w:val="none"/>
          <w:lang w:val="en-US" w:eastAsia="zh-CN"/>
        </w:rPr>
        <w:t>一是</w:t>
      </w:r>
      <w:r>
        <w:rPr>
          <w:rFonts w:hint="eastAsia" w:ascii="仿宋_GB2312" w:hAnsi="仿宋" w:eastAsia="仿宋_GB2312" w:cs="Times New Roman"/>
          <w:sz w:val="32"/>
          <w:szCs w:val="32"/>
          <w:highlight w:val="none"/>
          <w:lang w:val="en-US" w:eastAsia="zh-CN"/>
        </w:rPr>
        <w:t>强化沟通协调机制。加强财务部门与业务部门之间的沟通协调，定期召开预算执行通报会议，及时通报预算执行情况，协调解决预算执行过程中出现的问题。</w:t>
      </w:r>
      <w:r>
        <w:rPr>
          <w:rFonts w:hint="eastAsia" w:ascii="仿宋_GB2312" w:hAnsi="仿宋" w:eastAsia="仿宋_GB2312" w:cs="Times New Roman"/>
          <w:b/>
          <w:bCs/>
          <w:sz w:val="32"/>
          <w:szCs w:val="32"/>
          <w:highlight w:val="none"/>
          <w:lang w:val="en-US" w:eastAsia="zh-CN"/>
        </w:rPr>
        <w:t>二是</w:t>
      </w:r>
      <w:r>
        <w:rPr>
          <w:rFonts w:hint="eastAsia" w:ascii="仿宋_GB2312" w:hAnsi="仿宋" w:eastAsia="仿宋_GB2312" w:cs="Times New Roman"/>
          <w:sz w:val="32"/>
          <w:szCs w:val="32"/>
          <w:highlight w:val="none"/>
          <w:lang w:val="en-US" w:eastAsia="zh-CN"/>
        </w:rPr>
        <w:t>加强培训和学习。积极参与绩效指标设置相关的培训和学习活动，提高相关人员的专业知识和业务能力。</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bCs/>
          <w:sz w:val="32"/>
          <w:szCs w:val="32"/>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
        <w:gridCol w:w="537"/>
        <w:gridCol w:w="811"/>
        <w:gridCol w:w="1492"/>
        <w:gridCol w:w="652"/>
        <w:gridCol w:w="730"/>
        <w:gridCol w:w="750"/>
        <w:gridCol w:w="600"/>
        <w:gridCol w:w="586"/>
        <w:gridCol w:w="756"/>
        <w:gridCol w:w="621"/>
        <w:gridCol w:w="696"/>
        <w:gridCol w:w="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gridSpan w:val="1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28"/>
                <w:szCs w:val="28"/>
                <w:u w:val="none"/>
                <w:lang w:val="en-US" w:eastAsia="zh-CN" w:bidi="ar"/>
              </w:rPr>
              <w:t>村公房附属用房建设</w:t>
            </w:r>
            <w:r>
              <w:rPr>
                <w:rFonts w:hint="eastAsia" w:ascii="宋体" w:hAnsi="宋体" w:eastAsia="宋体" w:cs="宋体"/>
                <w:b/>
                <w:bCs/>
                <w:i w:val="0"/>
                <w:iCs w:val="0"/>
                <w:color w:val="000000"/>
                <w:kern w:val="0"/>
                <w:sz w:val="28"/>
                <w:szCs w:val="28"/>
                <w:highlight w:val="none"/>
                <w:u w:val="none"/>
                <w:lang w:val="en-US" w:eastAsia="zh-CN" w:bidi="ar"/>
              </w:rPr>
              <w:t>项目项目</w:t>
            </w:r>
            <w:r>
              <w:rPr>
                <w:rFonts w:hint="eastAsia" w:ascii="宋体" w:hAnsi="宋体" w:eastAsia="宋体" w:cs="宋体"/>
                <w:b/>
                <w:bCs/>
                <w:i w:val="0"/>
                <w:iCs w:val="0"/>
                <w:color w:val="000000"/>
                <w:kern w:val="0"/>
                <w:sz w:val="28"/>
                <w:szCs w:val="28"/>
                <w:u w:val="none"/>
                <w:lang w:val="en-US" w:eastAsia="zh-CN" w:bidi="ar"/>
              </w:rPr>
              <w:t>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项目名称</w:t>
            </w:r>
            <w:r>
              <w:rPr>
                <w:rFonts w:hint="eastAsia" w:ascii="宋体" w:hAnsi="宋体" w:cs="宋体"/>
                <w:b/>
                <w:bCs/>
                <w:i w:val="0"/>
                <w:iCs w:val="0"/>
                <w:color w:val="000000"/>
                <w:kern w:val="0"/>
                <w:sz w:val="13"/>
                <w:szCs w:val="13"/>
                <w:u w:val="none"/>
                <w:lang w:val="en-US" w:eastAsia="zh-CN" w:bidi="ar"/>
              </w:rPr>
              <w:t>：</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54042324T000001491137-村公房附属用房建设项目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项目负责人</w:t>
            </w:r>
            <w:r>
              <w:rPr>
                <w:rFonts w:hint="eastAsia" w:ascii="宋体" w:hAnsi="宋体" w:cs="宋体"/>
                <w:b/>
                <w:bCs/>
                <w:i w:val="0"/>
                <w:iCs w:val="0"/>
                <w:color w:val="000000"/>
                <w:kern w:val="0"/>
                <w:sz w:val="13"/>
                <w:szCs w:val="13"/>
                <w:u w:val="none"/>
                <w:lang w:val="en-US" w:eastAsia="zh-CN" w:bidi="ar"/>
              </w:rPr>
              <w:t>：</w:t>
            </w: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张福荣</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联系电话</w:t>
            </w:r>
            <w:r>
              <w:rPr>
                <w:rFonts w:hint="eastAsia" w:ascii="宋体" w:hAnsi="宋体" w:cs="宋体"/>
                <w:b/>
                <w:bCs/>
                <w:i w:val="0"/>
                <w:iCs w:val="0"/>
                <w:color w:val="000000"/>
                <w:kern w:val="0"/>
                <w:sz w:val="13"/>
                <w:szCs w:val="13"/>
                <w:u w:val="none"/>
                <w:lang w:val="en-US" w:eastAsia="zh-CN" w:bidi="ar"/>
              </w:rPr>
              <w:t>：</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17794497172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主管部门</w:t>
            </w:r>
            <w:r>
              <w:rPr>
                <w:rFonts w:hint="eastAsia" w:ascii="宋体" w:hAnsi="宋体" w:cs="宋体"/>
                <w:b/>
                <w:bCs/>
                <w:i w:val="0"/>
                <w:iCs w:val="0"/>
                <w:color w:val="000000"/>
                <w:kern w:val="0"/>
                <w:sz w:val="13"/>
                <w:szCs w:val="13"/>
                <w:u w:val="none"/>
                <w:lang w:val="en-US" w:eastAsia="zh-CN" w:bidi="ar"/>
              </w:rPr>
              <w:t>：</w:t>
            </w:r>
          </w:p>
        </w:tc>
        <w:tc>
          <w:tcPr>
            <w:tcW w:w="0" w:type="auto"/>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333-墨脱县格当乡人民政府</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实施单位</w:t>
            </w:r>
            <w:r>
              <w:rPr>
                <w:rFonts w:hint="eastAsia" w:ascii="宋体" w:hAnsi="宋体" w:cs="宋体"/>
                <w:b/>
                <w:bCs/>
                <w:i w:val="0"/>
                <w:iCs w:val="0"/>
                <w:color w:val="000000"/>
                <w:kern w:val="0"/>
                <w:sz w:val="13"/>
                <w:szCs w:val="13"/>
                <w:u w:val="none"/>
                <w:lang w:val="en-US" w:eastAsia="zh-CN" w:bidi="ar"/>
              </w:rPr>
              <w:t>：</w:t>
            </w:r>
          </w:p>
        </w:tc>
        <w:tc>
          <w:tcPr>
            <w:tcW w:w="0" w:type="auto"/>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333001-墨脱县格当乡人民政府机关</w:t>
            </w:r>
          </w:p>
        </w:tc>
        <w:tc>
          <w:tcPr>
            <w:tcW w:w="0" w:type="auto"/>
            <w:tcBorders>
              <w:top w:val="single" w:color="auto" w:sz="4" w:space="0"/>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单位：元</w:t>
            </w:r>
          </w:p>
        </w:tc>
        <w:tc>
          <w:tcPr>
            <w:tcW w:w="0" w:type="auto"/>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资金构成</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执行数</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执行进度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得分</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1,679,949.80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1,679,949.80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cs="宋体"/>
                <w:i w:val="0"/>
                <w:iCs w:val="0"/>
                <w:color w:val="000000"/>
                <w:kern w:val="0"/>
                <w:sz w:val="13"/>
                <w:szCs w:val="13"/>
                <w:u w:val="none"/>
                <w:lang w:val="en-US" w:eastAsia="zh-CN" w:bidi="ar"/>
              </w:rPr>
              <w:t>100</w:t>
            </w:r>
            <w:r>
              <w:rPr>
                <w:rFonts w:hint="eastAsia" w:ascii="宋体" w:hAnsi="宋体" w:eastAsia="宋体" w:cs="宋体"/>
                <w:i w:val="0"/>
                <w:iCs w:val="0"/>
                <w:color w:val="000000"/>
                <w:kern w:val="0"/>
                <w:sz w:val="13"/>
                <w:szCs w:val="13"/>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13"/>
                <w:szCs w:val="13"/>
                <w:u w:val="none"/>
                <w:lang w:val="en-US"/>
              </w:rPr>
            </w:pPr>
            <w:r>
              <w:rPr>
                <w:rFonts w:hint="eastAsia" w:ascii="宋体" w:hAnsi="宋体" w:cs="宋体"/>
                <w:i w:val="0"/>
                <w:iCs w:val="0"/>
                <w:color w:val="000000"/>
                <w:kern w:val="0"/>
                <w:sz w:val="13"/>
                <w:szCs w:val="13"/>
                <w:u w:val="none"/>
                <w:lang w:val="en-US" w:eastAsia="zh-CN" w:bidi="ar"/>
              </w:rPr>
              <w:t>10</w:t>
            </w: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其中：财政资金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1,679,949.80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1,679,949.80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hint="default" w:ascii="宋体" w:hAnsi="宋体" w:eastAsia="宋体" w:cs="宋体"/>
                <w:i w:val="0"/>
                <w:iCs w:val="0"/>
                <w:color w:val="000000"/>
                <w:sz w:val="13"/>
                <w:szCs w:val="13"/>
                <w:u w:val="none"/>
                <w:lang w:val="en-US" w:eastAsia="zh-CN"/>
              </w:rPr>
            </w:pPr>
            <w:r>
              <w:rPr>
                <w:rFonts w:hint="eastAsia" w:ascii="宋体" w:hAnsi="宋体" w:cs="宋体"/>
                <w:i w:val="0"/>
                <w:iCs w:val="0"/>
                <w:color w:val="000000"/>
                <w:sz w:val="13"/>
                <w:szCs w:val="13"/>
                <w:u w:val="none"/>
                <w:lang w:val="en-US" w:eastAsia="zh-CN"/>
              </w:rPr>
              <w:t>10</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cs="宋体"/>
                <w:i w:val="0"/>
                <w:iCs w:val="0"/>
                <w:color w:val="000000"/>
                <w:kern w:val="0"/>
                <w:sz w:val="13"/>
                <w:szCs w:val="13"/>
                <w:u w:val="none"/>
                <w:lang w:val="en-US" w:eastAsia="zh-CN" w:bidi="ar"/>
              </w:rPr>
              <w:t>100</w:t>
            </w:r>
            <w:r>
              <w:rPr>
                <w:rFonts w:hint="eastAsia" w:ascii="宋体" w:hAnsi="宋体" w:eastAsia="宋体" w:cs="宋体"/>
                <w:i w:val="0"/>
                <w:iCs w:val="0"/>
                <w:color w:val="000000"/>
                <w:kern w:val="0"/>
                <w:sz w:val="13"/>
                <w:szCs w:val="13"/>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iCs w:val="0"/>
                <w:color w:val="000000"/>
                <w:sz w:val="13"/>
                <w:szCs w:val="13"/>
                <w:u w:val="none"/>
                <w:lang w:val="en-US" w:eastAsia="zh-CN"/>
              </w:rPr>
            </w:pPr>
            <w:r>
              <w:rPr>
                <w:rFonts w:hint="eastAsia" w:ascii="宋体" w:hAnsi="宋体" w:cs="宋体"/>
                <w:i w:val="0"/>
                <w:iCs w:val="0"/>
                <w:color w:val="000000"/>
                <w:sz w:val="13"/>
                <w:szCs w:val="13"/>
                <w:u w:val="none"/>
                <w:lang w:val="en-US" w:eastAsia="zh-CN"/>
              </w:rPr>
              <w:t>10</w:t>
            </w: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hint="eastAsia" w:ascii="宋体" w:hAnsi="宋体" w:eastAsia="宋体" w:cs="宋体"/>
                <w:i w:val="0"/>
                <w:iCs w:val="0"/>
                <w:color w:val="000000"/>
                <w:sz w:val="13"/>
                <w:szCs w:val="13"/>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3"/>
                <w:szCs w:val="13"/>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hint="eastAsia" w:ascii="宋体" w:hAnsi="宋体" w:eastAsia="宋体" w:cs="宋体"/>
                <w:i w:val="0"/>
                <w:iCs w:val="0"/>
                <w:color w:val="000000"/>
                <w:sz w:val="13"/>
                <w:szCs w:val="13"/>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3"/>
                <w:szCs w:val="13"/>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年度目标</w:t>
            </w:r>
            <w:r>
              <w:rPr>
                <w:rFonts w:hint="eastAsia" w:ascii="宋体" w:hAnsi="宋体" w:cs="宋体"/>
                <w:b/>
                <w:bCs/>
                <w:i w:val="0"/>
                <w:iCs w:val="0"/>
                <w:color w:val="000000"/>
                <w:kern w:val="0"/>
                <w:sz w:val="13"/>
                <w:szCs w:val="13"/>
                <w:u w:val="none"/>
                <w:lang w:val="en-US" w:eastAsia="zh-CN" w:bidi="ar"/>
              </w:rPr>
              <w:t>：</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核定新建村公房540.14平方米及土石方工程、总体电气工程和总体给排水工程。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 xml:space="preserve"> 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绩效指标性质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绩效指标值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绩效度量单位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偏差原因分析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新建村公房附属用房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座（处）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总建筑面积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540.14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540.14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村公房附属用房是否正常投入使用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基本达成目标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竣工验收合格率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96.94%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项目施工周期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资金按申请及时拨付率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村公房附属用房建设项目总投资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13"/>
                <w:szCs w:val="13"/>
                <w:u w:val="none"/>
                <w:lang w:val="en-US"/>
              </w:rPr>
            </w:pPr>
            <w:r>
              <w:rPr>
                <w:rFonts w:hint="eastAsia" w:ascii="宋体" w:hAnsi="宋体" w:cs="宋体"/>
                <w:i w:val="0"/>
                <w:iCs w:val="0"/>
                <w:color w:val="000000"/>
                <w:kern w:val="0"/>
                <w:sz w:val="13"/>
                <w:szCs w:val="13"/>
                <w:u w:val="none"/>
                <w:lang w:val="en-US" w:eastAsia="zh-CN" w:bidi="ar"/>
              </w:rPr>
              <w:t>167.99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13"/>
                <w:szCs w:val="13"/>
                <w:u w:val="none"/>
                <w:lang w:val="en-US"/>
              </w:rPr>
            </w:pPr>
            <w:r>
              <w:rPr>
                <w:rFonts w:hint="eastAsia" w:ascii="宋体" w:hAnsi="宋体" w:cs="宋体"/>
                <w:i w:val="0"/>
                <w:iCs w:val="0"/>
                <w:color w:val="000000"/>
                <w:kern w:val="0"/>
                <w:sz w:val="13"/>
                <w:szCs w:val="13"/>
                <w:u w:val="none"/>
                <w:lang w:val="en-US" w:eastAsia="zh-CN" w:bidi="ar"/>
              </w:rPr>
              <w:t>167.99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增加村集体收入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部分实现目标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增加群众生产经营场所，拓宽群众收入来源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基本达成目标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提高群众生活质量，增强乡镇可持续发展能力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部分实现目标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受益群体满意度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91.84%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cs="宋体"/>
                <w:i w:val="0"/>
                <w:iCs w:val="0"/>
                <w:color w:val="000000"/>
                <w:kern w:val="0"/>
                <w:sz w:val="13"/>
                <w:szCs w:val="13"/>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r>
    </w:tbl>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bCs/>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97" w:name="_Toc32639_WPSOffice_Level2"/>
      <w:bookmarkStart w:id="98" w:name="_Toc15262_WPSOffice_Level2"/>
      <w:bookmarkStart w:id="99" w:name="_Toc18325_WPSOffice_Level2"/>
      <w:bookmarkStart w:id="100" w:name="_Toc5978_WPSOffice_Level2"/>
      <w:bookmarkStart w:id="101" w:name="_Toc15565_WPSOffice_Level2"/>
      <w:bookmarkStart w:id="102" w:name="_Toc23598_WPSOffice_Level2"/>
      <w:r>
        <w:rPr>
          <w:rFonts w:hint="eastAsia" w:ascii="楷体" w:hAnsi="楷体" w:eastAsia="楷体" w:cs="楷体"/>
          <w:bCs/>
          <w:sz w:val="32"/>
          <w:szCs w:val="32"/>
        </w:rPr>
        <w:t>（一）机关运行经费支出情况</w:t>
      </w:r>
      <w:bookmarkEnd w:id="97"/>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年度墨脱县格当乡人民政府机关运行经费</w:t>
      </w:r>
      <w:r>
        <w:rPr>
          <w:rFonts w:hint="eastAsia" w:ascii="仿宋_GB2312" w:hAnsi="ˎ̥" w:eastAsia="仿宋_GB2312"/>
          <w:color w:val="auto"/>
          <w:sz w:val="32"/>
          <w:szCs w:val="32"/>
          <w:lang w:val="en-US" w:eastAsia="zh-CN"/>
        </w:rPr>
        <w:t>88.77</w:t>
      </w:r>
      <w:r>
        <w:rPr>
          <w:rFonts w:hint="eastAsia" w:ascii="仿宋_GB2312" w:hAnsi="ˎ̥" w:eastAsia="仿宋_GB2312"/>
          <w:color w:val="auto"/>
          <w:sz w:val="32"/>
          <w:szCs w:val="32"/>
        </w:rPr>
        <w:t>万元，比年初预算减少</w:t>
      </w:r>
      <w:r>
        <w:rPr>
          <w:rFonts w:hint="eastAsia" w:ascii="仿宋_GB2312" w:hAnsi="ˎ̥" w:eastAsia="仿宋_GB2312"/>
          <w:color w:val="auto"/>
          <w:sz w:val="32"/>
          <w:szCs w:val="32"/>
          <w:lang w:val="en-US" w:eastAsia="zh-CN"/>
        </w:rPr>
        <w:t>1.84</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减少</w:t>
      </w:r>
      <w:r>
        <w:rPr>
          <w:rFonts w:hint="eastAsia" w:ascii="仿宋_GB2312" w:hAnsi="ˎ̥" w:eastAsia="仿宋_GB2312"/>
          <w:color w:val="auto"/>
          <w:sz w:val="32"/>
          <w:szCs w:val="32"/>
          <w:lang w:val="en-US" w:eastAsia="zh-CN"/>
        </w:rPr>
        <w:t>17.42</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下降24.41%。</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bidi="ar"/>
        </w:rPr>
        <w:t>落实过紧日子要求压减</w:t>
      </w:r>
      <w:r>
        <w:rPr>
          <w:rFonts w:hint="eastAsia" w:ascii="仿宋_GB2312" w:hAnsi="ˎ̥" w:eastAsia="仿宋_GB2312"/>
          <w:color w:val="auto"/>
          <w:sz w:val="32"/>
          <w:szCs w:val="32"/>
          <w:lang w:eastAsia="zh-CN" w:bidi="ar"/>
        </w:rPr>
        <w:t>经费</w:t>
      </w:r>
      <w:r>
        <w:rPr>
          <w:rFonts w:hint="eastAsia" w:ascii="仿宋_GB2312" w:hAnsi="ˎ̥" w:eastAsia="仿宋_GB2312"/>
          <w:color w:val="auto"/>
          <w:sz w:val="32"/>
          <w:szCs w:val="32"/>
          <w:lang w:bidi="ar"/>
        </w:rPr>
        <w:t>支出</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3" w:name="_Toc23966_WPSOffice_Level2"/>
      <w:bookmarkStart w:id="104" w:name="_Toc3131_WPSOffice_Level2"/>
      <w:bookmarkStart w:id="105" w:name="_Toc13084_WPSOffice_Level2"/>
      <w:bookmarkStart w:id="106" w:name="_Toc25333_WPSOffice_Level2"/>
      <w:bookmarkStart w:id="107" w:name="_Toc30383_WPSOffice_Level2"/>
      <w:bookmarkStart w:id="108" w:name="_Toc32689_WPSOffice_Level2"/>
      <w:r>
        <w:rPr>
          <w:rFonts w:hint="eastAsia" w:ascii="楷体" w:hAnsi="楷体" w:eastAsia="楷体" w:cs="楷体"/>
          <w:bCs/>
          <w:sz w:val="32"/>
          <w:szCs w:val="32"/>
        </w:rPr>
        <w:t>（二）政府采购支出情况</w:t>
      </w:r>
      <w:bookmarkEnd w:id="103"/>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年度墨脱县格当乡人民政府采购支出总额</w:t>
      </w:r>
      <w:r>
        <w:rPr>
          <w:rFonts w:hint="eastAsia" w:ascii="仿宋_GB2312" w:hAnsi="ˎ̥" w:eastAsia="仿宋_GB2312"/>
          <w:color w:val="auto"/>
          <w:sz w:val="32"/>
          <w:szCs w:val="32"/>
          <w:lang w:val="en-US" w:eastAsia="zh-CN"/>
        </w:rPr>
        <w:t>156.22</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156.22</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9" w:name="_Toc10902_WPSOffice_Level2"/>
      <w:bookmarkStart w:id="110" w:name="_Toc19989_WPSOffice_Level2"/>
      <w:bookmarkStart w:id="111" w:name="_Toc15129_WPSOffice_Level2"/>
      <w:bookmarkStart w:id="112" w:name="_Toc6016_WPSOffice_Level2"/>
      <w:bookmarkStart w:id="113" w:name="_Toc29584_WPSOffice_Level2"/>
      <w:bookmarkStart w:id="114" w:name="_Toc527_WPSOffice_Level2"/>
      <w:r>
        <w:rPr>
          <w:rFonts w:hint="eastAsia" w:ascii="楷体" w:hAnsi="楷体" w:eastAsia="楷体" w:cs="楷体"/>
          <w:bCs/>
          <w:sz w:val="32"/>
          <w:szCs w:val="32"/>
        </w:rPr>
        <w:t>（三）国有资产占用情况</w:t>
      </w:r>
      <w:bookmarkEnd w:id="109"/>
      <w:bookmarkEnd w:id="110"/>
      <w:bookmarkEnd w:id="111"/>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4319.08</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6</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辆，其他用车主要是</w:t>
      </w:r>
      <w:r>
        <w:rPr>
          <w:rFonts w:hint="eastAsia" w:ascii="仿宋_GB2312" w:hAnsi="ˎ̥" w:eastAsia="仿宋_GB2312"/>
          <w:color w:val="auto"/>
          <w:sz w:val="32"/>
          <w:szCs w:val="32"/>
          <w:lang w:eastAsia="zh-CN"/>
        </w:rPr>
        <w:t>垃圾清运等日常业务工作</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115" w:name="_Toc4398_WPSOffice_Level1"/>
      <w:bookmarkStart w:id="116" w:name="_Toc15425_WPSOffice_Level1"/>
      <w:bookmarkStart w:id="117" w:name="_Toc17580_WPSOffice_Level1"/>
      <w:bookmarkStart w:id="118" w:name="_Toc11039_WPSOffice_Level1"/>
      <w:bookmarkStart w:id="119" w:name="_Toc8874_WPSOffice_Level1"/>
      <w:bookmarkStart w:id="120" w:name="_Toc8808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5"/>
      <w:bookmarkEnd w:id="116"/>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lang w:eastAsia="zh-CN"/>
        </w:rPr>
      </w:pPr>
      <w:r>
        <w:rPr>
          <w:rFonts w:hint="eastAsia" w:ascii="仿宋_GB2312" w:hAnsi="ˎ̥" w:eastAsia="仿宋_GB2312"/>
          <w:b w:val="0"/>
          <w:bCs w:val="0"/>
          <w:sz w:val="32"/>
          <w:szCs w:val="32"/>
        </w:rPr>
        <w:t>1.一般公共服务（类）人大事务（款）行政运行（项）</w:t>
      </w:r>
      <w:r>
        <w:rPr>
          <w:rFonts w:hint="eastAsia" w:ascii="仿宋_GB2312" w:hAnsi="ˎ̥" w:eastAsia="仿宋_GB2312"/>
          <w:b w:val="0"/>
          <w:bCs w:val="0"/>
          <w:sz w:val="32"/>
          <w:szCs w:val="32"/>
          <w:lang w:eastAsia="zh-CN"/>
        </w:rPr>
        <w:t>：</w:t>
      </w:r>
      <w:r>
        <w:rPr>
          <w:rFonts w:hint="eastAsia" w:ascii="仿宋_GB2312" w:hAnsi="ˎ̥" w:eastAsia="仿宋_GB2312"/>
          <w:b w:val="0"/>
          <w:bCs w:val="0"/>
          <w:sz w:val="32"/>
          <w:szCs w:val="32"/>
        </w:rPr>
        <w:t>反映行政单位</w:t>
      </w:r>
      <w:r>
        <w:rPr>
          <w:rFonts w:hint="eastAsia" w:ascii="仿宋_GB2312" w:hAnsi="ˎ̥" w:eastAsia="仿宋_GB2312"/>
          <w:b w:val="0"/>
          <w:bCs w:val="0"/>
          <w:sz w:val="32"/>
          <w:szCs w:val="32"/>
          <w:lang w:eastAsia="zh-CN"/>
        </w:rPr>
        <w:t>（</w:t>
      </w:r>
      <w:r>
        <w:rPr>
          <w:rFonts w:hint="eastAsia" w:ascii="仿宋_GB2312" w:hAnsi="ˎ̥" w:eastAsia="仿宋_GB2312"/>
          <w:b w:val="0"/>
          <w:bCs w:val="0"/>
          <w:sz w:val="32"/>
          <w:szCs w:val="32"/>
        </w:rPr>
        <w:t>包括</w:t>
      </w:r>
      <w:r>
        <w:rPr>
          <w:rFonts w:hint="eastAsia" w:ascii="仿宋_GB2312" w:hAnsi="ˎ̥" w:eastAsia="仿宋_GB2312"/>
          <w:b w:val="0"/>
          <w:bCs w:val="0"/>
          <w:sz w:val="32"/>
          <w:szCs w:val="32"/>
          <w:lang w:eastAsia="zh-CN"/>
        </w:rPr>
        <w:t>实行</w:t>
      </w:r>
      <w:r>
        <w:rPr>
          <w:rFonts w:hint="eastAsia" w:ascii="仿宋_GB2312" w:hAnsi="ˎ̥" w:eastAsia="仿宋_GB2312"/>
          <w:b w:val="0"/>
          <w:bCs w:val="0"/>
          <w:sz w:val="32"/>
          <w:szCs w:val="32"/>
        </w:rPr>
        <w:t>公务员管理的事业单位</w:t>
      </w:r>
      <w:r>
        <w:rPr>
          <w:rFonts w:hint="eastAsia" w:ascii="仿宋_GB2312" w:hAnsi="ˎ̥" w:eastAsia="仿宋_GB2312"/>
          <w:b w:val="0"/>
          <w:bCs w:val="0"/>
          <w:sz w:val="32"/>
          <w:szCs w:val="32"/>
          <w:lang w:eastAsia="zh-CN"/>
        </w:rPr>
        <w:t>）</w:t>
      </w:r>
      <w:r>
        <w:rPr>
          <w:rFonts w:hint="eastAsia" w:ascii="仿宋_GB2312" w:hAnsi="ˎ̥" w:eastAsia="仿宋_GB2312"/>
          <w:b w:val="0"/>
          <w:bCs w:val="0"/>
          <w:sz w:val="32"/>
          <w:szCs w:val="32"/>
        </w:rPr>
        <w:t>的基本支出</w:t>
      </w:r>
      <w:r>
        <w:rPr>
          <w:rFonts w:hint="eastAsia" w:ascii="仿宋_GB2312" w:hAnsi="ˎ̥" w:eastAsia="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lang w:eastAsia="zh-CN"/>
        </w:rPr>
      </w:pPr>
      <w:r>
        <w:rPr>
          <w:rFonts w:hint="eastAsia" w:ascii="仿宋_GB2312" w:hAnsi="ˎ̥" w:eastAsia="仿宋_GB2312"/>
          <w:b w:val="0"/>
          <w:bCs w:val="0"/>
          <w:sz w:val="32"/>
          <w:szCs w:val="32"/>
          <w:lang w:val="en-US" w:eastAsia="zh-CN"/>
        </w:rPr>
        <w:t>2</w:t>
      </w:r>
      <w:r>
        <w:rPr>
          <w:rFonts w:hint="eastAsia" w:ascii="仿宋_GB2312" w:hAnsi="ˎ̥" w:eastAsia="仿宋_GB2312"/>
          <w:b w:val="0"/>
          <w:bCs w:val="0"/>
          <w:sz w:val="32"/>
          <w:szCs w:val="32"/>
        </w:rPr>
        <w:t>.一般公共服务（类）人大事务（款）人大会议（项）</w:t>
      </w:r>
      <w:r>
        <w:rPr>
          <w:rFonts w:hint="eastAsia" w:ascii="仿宋_GB2312" w:hAnsi="ˎ̥" w:eastAsia="仿宋_GB2312"/>
          <w:b w:val="0"/>
          <w:bCs w:val="0"/>
          <w:sz w:val="32"/>
          <w:szCs w:val="32"/>
          <w:lang w:eastAsia="zh-CN"/>
        </w:rPr>
        <w:t>：反映各级人大召开人民代表大会等专门会议的支出。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lang w:eastAsia="zh-CN"/>
        </w:rPr>
      </w:pPr>
      <w:r>
        <w:rPr>
          <w:rFonts w:hint="eastAsia" w:ascii="仿宋_GB2312" w:hAnsi="ˎ̥" w:eastAsia="仿宋_GB2312"/>
          <w:b w:val="0"/>
          <w:bCs w:val="0"/>
          <w:sz w:val="32"/>
          <w:szCs w:val="32"/>
          <w:lang w:val="en-US" w:eastAsia="zh-CN"/>
        </w:rPr>
        <w:t>3</w:t>
      </w:r>
      <w:r>
        <w:rPr>
          <w:rFonts w:hint="eastAsia" w:ascii="仿宋_GB2312" w:hAnsi="ˎ̥" w:eastAsia="仿宋_GB2312"/>
          <w:b w:val="0"/>
          <w:bCs w:val="0"/>
          <w:sz w:val="32"/>
          <w:szCs w:val="32"/>
        </w:rPr>
        <w:t>.一般公共服务（类）人大事务（款）人大代表履职能力提升（项）</w:t>
      </w:r>
      <w:r>
        <w:rPr>
          <w:rFonts w:hint="eastAsia" w:ascii="仿宋_GB2312" w:hAnsi="ˎ̥" w:eastAsia="仿宋_GB2312"/>
          <w:b w:val="0"/>
          <w:bCs w:val="0"/>
          <w:sz w:val="32"/>
          <w:szCs w:val="32"/>
          <w:lang w:eastAsia="zh-CN"/>
        </w:rPr>
        <w:t>：反映各级人大为提高代表履职能力所发生的各项支出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lang w:eastAsia="zh-CN"/>
        </w:rPr>
      </w:pPr>
      <w:r>
        <w:rPr>
          <w:rFonts w:hint="eastAsia" w:ascii="仿宋_GB2312" w:hAnsi="ˎ̥" w:eastAsia="仿宋_GB2312"/>
          <w:b w:val="0"/>
          <w:bCs w:val="0"/>
          <w:sz w:val="32"/>
          <w:szCs w:val="32"/>
          <w:lang w:val="en-US" w:eastAsia="zh-CN"/>
        </w:rPr>
        <w:t>4</w:t>
      </w:r>
      <w:r>
        <w:rPr>
          <w:rFonts w:hint="eastAsia" w:ascii="仿宋_GB2312" w:hAnsi="ˎ̥" w:eastAsia="仿宋_GB2312"/>
          <w:b w:val="0"/>
          <w:bCs w:val="0"/>
          <w:sz w:val="32"/>
          <w:szCs w:val="32"/>
        </w:rPr>
        <w:t>.一般公共服务（类）人大事务（款）其他人大事务支出（项）</w:t>
      </w:r>
      <w:r>
        <w:rPr>
          <w:rFonts w:hint="eastAsia" w:ascii="仿宋_GB2312" w:hAnsi="ˎ̥" w:eastAsia="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b w:val="0"/>
          <w:bCs w:val="0"/>
          <w:sz w:val="32"/>
          <w:szCs w:val="32"/>
          <w:lang w:eastAsia="zh-CN"/>
        </w:rPr>
      </w:pPr>
      <w:r>
        <w:rPr>
          <w:rFonts w:hint="eastAsia" w:ascii="仿宋_GB2312" w:hAnsi="ˎ̥" w:eastAsia="仿宋_GB2312"/>
          <w:b w:val="0"/>
          <w:bCs w:val="0"/>
          <w:sz w:val="32"/>
          <w:szCs w:val="32"/>
        </w:rPr>
        <w:t>反映除上述项目以外的其他人大事务支出</w:t>
      </w:r>
      <w:r>
        <w:rPr>
          <w:rFonts w:hint="eastAsia" w:ascii="仿宋_GB2312" w:hAnsi="ˎ̥" w:eastAsia="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lang w:eastAsia="zh-CN"/>
        </w:rPr>
      </w:pPr>
      <w:r>
        <w:rPr>
          <w:rFonts w:hint="eastAsia" w:ascii="仿宋_GB2312" w:hAnsi="ˎ̥" w:eastAsia="仿宋_GB2312"/>
          <w:b w:val="0"/>
          <w:bCs w:val="0"/>
          <w:sz w:val="32"/>
          <w:szCs w:val="32"/>
          <w:lang w:val="en-US" w:eastAsia="zh-CN"/>
        </w:rPr>
        <w:t>5</w:t>
      </w:r>
      <w:r>
        <w:rPr>
          <w:rFonts w:hint="eastAsia" w:ascii="仿宋_GB2312" w:hAnsi="ˎ̥" w:eastAsia="仿宋_GB2312"/>
          <w:b w:val="0"/>
          <w:bCs w:val="0"/>
          <w:sz w:val="32"/>
          <w:szCs w:val="32"/>
        </w:rPr>
        <w:t>.一般公共服务（类）政府办公厅（室）及相关机构事务（款）行政运行（项）</w:t>
      </w:r>
      <w:r>
        <w:rPr>
          <w:rFonts w:hint="eastAsia" w:ascii="仿宋_GB2312" w:hAnsi="ˎ̥" w:eastAsia="仿宋_GB2312"/>
          <w:b w:val="0"/>
          <w:bCs w:val="0"/>
          <w:sz w:val="32"/>
          <w:szCs w:val="32"/>
          <w:lang w:eastAsia="zh-CN"/>
        </w:rPr>
        <w:t>：</w:t>
      </w:r>
      <w:r>
        <w:rPr>
          <w:rFonts w:hint="eastAsia" w:ascii="仿宋_GB2312" w:hAnsi="ˎ̥" w:eastAsia="仿宋_GB2312"/>
          <w:b w:val="0"/>
          <w:bCs w:val="0"/>
          <w:sz w:val="32"/>
          <w:szCs w:val="32"/>
        </w:rPr>
        <w:t>反映行政单位</w:t>
      </w:r>
      <w:r>
        <w:rPr>
          <w:rFonts w:hint="eastAsia" w:ascii="仿宋_GB2312" w:hAnsi="ˎ̥" w:eastAsia="仿宋_GB2312"/>
          <w:b w:val="0"/>
          <w:bCs w:val="0"/>
          <w:sz w:val="32"/>
          <w:szCs w:val="32"/>
          <w:lang w:eastAsia="zh-CN"/>
        </w:rPr>
        <w:t>（</w:t>
      </w:r>
      <w:r>
        <w:rPr>
          <w:rFonts w:hint="eastAsia" w:ascii="仿宋_GB2312" w:hAnsi="ˎ̥" w:eastAsia="仿宋_GB2312"/>
          <w:b w:val="0"/>
          <w:bCs w:val="0"/>
          <w:sz w:val="32"/>
          <w:szCs w:val="32"/>
        </w:rPr>
        <w:t>包括</w:t>
      </w:r>
      <w:r>
        <w:rPr>
          <w:rFonts w:hint="eastAsia" w:ascii="仿宋_GB2312" w:hAnsi="ˎ̥" w:eastAsia="仿宋_GB2312"/>
          <w:b w:val="0"/>
          <w:bCs w:val="0"/>
          <w:sz w:val="32"/>
          <w:szCs w:val="32"/>
          <w:lang w:eastAsia="zh-CN"/>
        </w:rPr>
        <w:t>实行</w:t>
      </w:r>
      <w:r>
        <w:rPr>
          <w:rFonts w:hint="eastAsia" w:ascii="仿宋_GB2312" w:hAnsi="ˎ̥" w:eastAsia="仿宋_GB2312"/>
          <w:b w:val="0"/>
          <w:bCs w:val="0"/>
          <w:sz w:val="32"/>
          <w:szCs w:val="32"/>
        </w:rPr>
        <w:t>公务员管理的事业单位</w:t>
      </w:r>
      <w:r>
        <w:rPr>
          <w:rFonts w:hint="eastAsia" w:ascii="仿宋_GB2312" w:hAnsi="ˎ̥" w:eastAsia="仿宋_GB2312"/>
          <w:b w:val="0"/>
          <w:bCs w:val="0"/>
          <w:sz w:val="32"/>
          <w:szCs w:val="32"/>
          <w:lang w:eastAsia="zh-CN"/>
        </w:rPr>
        <w:t>）</w:t>
      </w:r>
      <w:r>
        <w:rPr>
          <w:rFonts w:hint="eastAsia" w:ascii="仿宋_GB2312" w:hAnsi="ˎ̥" w:eastAsia="仿宋_GB2312"/>
          <w:b w:val="0"/>
          <w:bCs w:val="0"/>
          <w:sz w:val="32"/>
          <w:szCs w:val="32"/>
        </w:rPr>
        <w:t>的基本支出</w:t>
      </w:r>
      <w:r>
        <w:rPr>
          <w:rFonts w:hint="eastAsia" w:ascii="仿宋_GB2312" w:hAnsi="ˎ̥" w:eastAsia="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6</w:t>
      </w:r>
      <w:r>
        <w:rPr>
          <w:rFonts w:hint="eastAsia" w:ascii="仿宋_GB2312" w:hAnsi="ˎ̥" w:eastAsia="仿宋_GB2312"/>
          <w:b w:val="0"/>
          <w:bCs w:val="0"/>
          <w:sz w:val="32"/>
          <w:szCs w:val="32"/>
        </w:rPr>
        <w:t>.一般公共服务（类）政府办公厅（室）及相关机构事务（款）机关服务（项）</w:t>
      </w:r>
      <w:r>
        <w:rPr>
          <w:rFonts w:hint="eastAsia" w:ascii="仿宋_GB2312" w:hAnsi="ˎ̥" w:eastAsia="仿宋_GB2312"/>
          <w:b w:val="0"/>
          <w:bCs w:val="0"/>
          <w:sz w:val="32"/>
          <w:szCs w:val="32"/>
          <w:lang w:eastAsia="zh-CN"/>
        </w:rPr>
        <w:t>：</w:t>
      </w:r>
      <w:r>
        <w:rPr>
          <w:rFonts w:hint="eastAsia" w:ascii="仿宋_GB2312" w:hAnsi="ˎ̥" w:eastAsia="仿宋_GB2312"/>
          <w:b w:val="0"/>
          <w:bCs w:val="0"/>
          <w:sz w:val="32"/>
          <w:szCs w:val="32"/>
        </w:rPr>
        <w:t>反映为行政单位</w:t>
      </w:r>
      <w:r>
        <w:rPr>
          <w:rFonts w:hint="eastAsia" w:ascii="仿宋_GB2312" w:hAnsi="ˎ̥" w:eastAsia="仿宋_GB2312"/>
          <w:b w:val="0"/>
          <w:bCs w:val="0"/>
          <w:sz w:val="32"/>
          <w:szCs w:val="32"/>
          <w:lang w:eastAsia="zh-CN"/>
        </w:rPr>
        <w:t>（</w:t>
      </w:r>
      <w:r>
        <w:rPr>
          <w:rFonts w:hint="eastAsia" w:ascii="仿宋_GB2312" w:hAnsi="ˎ̥" w:eastAsia="仿宋_GB2312"/>
          <w:b w:val="0"/>
          <w:bCs w:val="0"/>
          <w:sz w:val="32"/>
          <w:szCs w:val="32"/>
        </w:rPr>
        <w:t>包括实行公务员管理的事业单位</w:t>
      </w:r>
      <w:r>
        <w:rPr>
          <w:rFonts w:hint="eastAsia" w:ascii="仿宋_GB2312" w:hAnsi="ˎ̥" w:eastAsia="仿宋_GB2312"/>
          <w:b w:val="0"/>
          <w:bCs w:val="0"/>
          <w:sz w:val="32"/>
          <w:szCs w:val="32"/>
          <w:lang w:eastAsia="zh-CN"/>
        </w:rPr>
        <w:t>）</w:t>
      </w:r>
      <w:r>
        <w:rPr>
          <w:rFonts w:hint="eastAsia" w:ascii="仿宋_GB2312" w:hAnsi="ˎ̥" w:eastAsia="仿宋_GB2312"/>
          <w:b w:val="0"/>
          <w:bCs w:val="0"/>
          <w:sz w:val="32"/>
          <w:szCs w:val="32"/>
        </w:rPr>
        <w:t>提供后勤服务的各类后勤服务中心、医务室等附属事业单位的支出。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7</w:t>
      </w:r>
      <w:r>
        <w:rPr>
          <w:rFonts w:hint="eastAsia" w:ascii="仿宋_GB2312" w:hAnsi="ˎ̥" w:eastAsia="仿宋_GB2312"/>
          <w:b w:val="0"/>
          <w:bCs w:val="0"/>
          <w:sz w:val="32"/>
          <w:szCs w:val="32"/>
        </w:rPr>
        <w:t>.一般公共服务（类）政府办公厅（室）及相关机构事务（款）其他政府办公厅（室）及相关机构事务支出（项）。反映除上述项目以外的其他政府办公厅</w:t>
      </w:r>
      <w:r>
        <w:rPr>
          <w:rFonts w:hint="eastAsia" w:ascii="仿宋_GB2312" w:hAnsi="ˎ̥" w:eastAsia="仿宋_GB2312"/>
          <w:b w:val="0"/>
          <w:bCs w:val="0"/>
          <w:sz w:val="32"/>
          <w:szCs w:val="32"/>
          <w:lang w:eastAsia="zh-CN"/>
        </w:rPr>
        <w:t>（</w:t>
      </w:r>
      <w:r>
        <w:rPr>
          <w:rFonts w:hint="eastAsia" w:ascii="仿宋_GB2312" w:hAnsi="ˎ̥" w:eastAsia="仿宋_GB2312"/>
          <w:b w:val="0"/>
          <w:bCs w:val="0"/>
          <w:sz w:val="32"/>
          <w:szCs w:val="32"/>
        </w:rPr>
        <w:t>室</w:t>
      </w:r>
      <w:r>
        <w:rPr>
          <w:rFonts w:hint="eastAsia" w:ascii="仿宋_GB2312" w:hAnsi="ˎ̥" w:eastAsia="仿宋_GB2312"/>
          <w:b w:val="0"/>
          <w:bCs w:val="0"/>
          <w:sz w:val="32"/>
          <w:szCs w:val="32"/>
          <w:lang w:eastAsia="zh-CN"/>
        </w:rPr>
        <w:t>）</w:t>
      </w:r>
      <w:r>
        <w:rPr>
          <w:rFonts w:hint="eastAsia" w:ascii="仿宋_GB2312" w:hAnsi="ˎ̥" w:eastAsia="仿宋_GB2312"/>
          <w:b w:val="0"/>
          <w:bCs w:val="0"/>
          <w:sz w:val="32"/>
          <w:szCs w:val="32"/>
        </w:rPr>
        <w:t>及相关机构事务支出。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8</w:t>
      </w:r>
      <w:r>
        <w:rPr>
          <w:rFonts w:hint="eastAsia" w:ascii="仿宋_GB2312" w:hAnsi="ˎ̥" w:eastAsia="仿宋_GB2312"/>
          <w:b w:val="0"/>
          <w:bCs w:val="0"/>
          <w:sz w:val="32"/>
          <w:szCs w:val="32"/>
        </w:rPr>
        <w:t>.一般公共服务（类）统计信息事务（款）专项普查活动（项）</w:t>
      </w:r>
      <w:r>
        <w:rPr>
          <w:rFonts w:hint="eastAsia" w:ascii="仿宋_GB2312" w:hAnsi="ˎ̥" w:eastAsia="仿宋_GB2312"/>
          <w:b w:val="0"/>
          <w:bCs w:val="0"/>
          <w:sz w:val="32"/>
          <w:szCs w:val="32"/>
          <w:lang w:eastAsia="zh-CN"/>
        </w:rPr>
        <w:t>：反映统计部门开展人口普查、经济普查、农业普查、投入产出调查等周期性普查工作的支出</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9</w:t>
      </w:r>
      <w:r>
        <w:rPr>
          <w:rFonts w:hint="eastAsia" w:ascii="仿宋_GB2312" w:hAnsi="ˎ̥" w:eastAsia="仿宋_GB2312"/>
          <w:b w:val="0"/>
          <w:bCs w:val="0"/>
          <w:sz w:val="32"/>
          <w:szCs w:val="32"/>
        </w:rPr>
        <w:t>.一般公共服务（类）纪检监察事务（款）其他纪检监察事务支出（项）</w:t>
      </w:r>
      <w:r>
        <w:rPr>
          <w:rFonts w:hint="eastAsia" w:ascii="仿宋_GB2312" w:hAnsi="ˎ̥" w:eastAsia="仿宋_GB2312"/>
          <w:b w:val="0"/>
          <w:bCs w:val="0"/>
          <w:sz w:val="32"/>
          <w:szCs w:val="32"/>
          <w:lang w:eastAsia="zh-CN"/>
        </w:rPr>
        <w:t>：反映除上述项目以外的其他纪检监察事务方面的支出</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10</w:t>
      </w:r>
      <w:r>
        <w:rPr>
          <w:rFonts w:hint="eastAsia" w:ascii="仿宋_GB2312" w:hAnsi="ˎ̥" w:eastAsia="仿宋_GB2312"/>
          <w:b w:val="0"/>
          <w:bCs w:val="0"/>
          <w:sz w:val="32"/>
          <w:szCs w:val="32"/>
        </w:rPr>
        <w:t>.一般公共服务（类）群众团体事务（款）其他群众团体事务支出（项）</w:t>
      </w:r>
      <w:r>
        <w:rPr>
          <w:rFonts w:hint="eastAsia" w:ascii="仿宋_GB2312" w:hAnsi="ˎ̥" w:eastAsia="仿宋_GB2312"/>
          <w:b w:val="0"/>
          <w:bCs w:val="0"/>
          <w:sz w:val="32"/>
          <w:szCs w:val="32"/>
          <w:lang w:eastAsia="zh-CN"/>
        </w:rPr>
        <w:t>：反映除上述项目以外其他用于群众团体事务方面的支出</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11</w:t>
      </w:r>
      <w:r>
        <w:rPr>
          <w:rFonts w:hint="eastAsia" w:ascii="仿宋_GB2312" w:hAnsi="ˎ̥" w:eastAsia="仿宋_GB2312"/>
          <w:b w:val="0"/>
          <w:bCs w:val="0"/>
          <w:sz w:val="32"/>
          <w:szCs w:val="32"/>
        </w:rPr>
        <w:t>.一般公共服务（类）党委办公厅（室）及相关机构事务（款）其他党委办公厅（室）及相关机构事务支出（项）</w:t>
      </w:r>
      <w:r>
        <w:rPr>
          <w:rFonts w:hint="eastAsia" w:ascii="仿宋_GB2312" w:hAnsi="ˎ̥" w:eastAsia="仿宋_GB2312"/>
          <w:b w:val="0"/>
          <w:bCs w:val="0"/>
          <w:sz w:val="32"/>
          <w:szCs w:val="32"/>
          <w:lang w:eastAsia="zh-CN"/>
        </w:rPr>
        <w:t>：反映除上述项目以外其他用于党委办公厅（室）及相关机构事务支出</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lang w:val="en-US" w:eastAsia="zh-CN"/>
        </w:rPr>
      </w:pPr>
      <w:r>
        <w:rPr>
          <w:rFonts w:hint="eastAsia" w:ascii="仿宋_GB2312" w:hAnsi="ˎ̥" w:eastAsia="仿宋_GB2312"/>
          <w:b w:val="0"/>
          <w:bCs w:val="0"/>
          <w:sz w:val="32"/>
          <w:szCs w:val="32"/>
          <w:lang w:val="en-US" w:eastAsia="zh-CN"/>
        </w:rPr>
        <w:t>12</w:t>
      </w:r>
      <w:r>
        <w:rPr>
          <w:rFonts w:hint="eastAsia" w:ascii="仿宋_GB2312" w:hAnsi="ˎ̥" w:eastAsia="仿宋_GB2312"/>
          <w:b w:val="0"/>
          <w:bCs w:val="0"/>
          <w:sz w:val="32"/>
          <w:szCs w:val="32"/>
        </w:rPr>
        <w:t>.一般公共服务（类）宣传事务（款</w:t>
      </w:r>
      <w:r>
        <w:rPr>
          <w:rFonts w:hint="eastAsia" w:ascii="仿宋_GB2312" w:hAnsi="ˎ̥" w:eastAsia="仿宋_GB2312"/>
          <w:b w:val="0"/>
          <w:bCs w:val="0"/>
          <w:sz w:val="32"/>
          <w:szCs w:val="32"/>
          <w:lang w:eastAsia="zh-CN"/>
        </w:rPr>
        <w:t>）其</w:t>
      </w:r>
      <w:r>
        <w:rPr>
          <w:rFonts w:hint="eastAsia" w:ascii="仿宋_GB2312" w:hAnsi="ˎ̥" w:eastAsia="仿宋_GB2312"/>
          <w:b w:val="0"/>
          <w:bCs w:val="0"/>
          <w:sz w:val="32"/>
          <w:szCs w:val="32"/>
        </w:rPr>
        <w:t>他宣传事务支出（项）</w:t>
      </w:r>
      <w:r>
        <w:rPr>
          <w:rFonts w:hint="eastAsia" w:ascii="仿宋_GB2312" w:hAnsi="ˎ̥" w:eastAsia="仿宋_GB2312"/>
          <w:b w:val="0"/>
          <w:bCs w:val="0"/>
          <w:sz w:val="32"/>
          <w:szCs w:val="32"/>
          <w:lang w:eastAsia="zh-CN"/>
        </w:rPr>
        <w:t>：反映除上述项目以外其他用于中国共产党宣传部门的事务支出</w:t>
      </w:r>
      <w:r>
        <w:rPr>
          <w:rFonts w:hint="eastAsia" w:ascii="仿宋_GB2312" w:hAnsi="ˎ̥" w:eastAsia="仿宋_GB2312"/>
          <w:b w:val="0"/>
          <w:bCs w:val="0"/>
          <w:sz w:val="32"/>
          <w:szCs w:val="32"/>
        </w:rPr>
        <w:t>。</w:t>
      </w:r>
      <w:r>
        <w:rPr>
          <w:rFonts w:hint="eastAsia" w:ascii="仿宋_GB2312" w:hAnsi="ˎ̥" w:eastAsia="仿宋_GB2312"/>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13</w:t>
      </w:r>
      <w:r>
        <w:rPr>
          <w:rFonts w:hint="eastAsia" w:ascii="仿宋_GB2312" w:hAnsi="ˎ̥" w:eastAsia="仿宋_GB2312"/>
          <w:b w:val="0"/>
          <w:bCs w:val="0"/>
          <w:sz w:val="32"/>
          <w:szCs w:val="32"/>
        </w:rPr>
        <w:t>.国防支出（类）国防动员（款）民兵（项）</w:t>
      </w:r>
      <w:r>
        <w:rPr>
          <w:rFonts w:hint="eastAsia" w:ascii="仿宋_GB2312" w:hAnsi="ˎ̥" w:eastAsia="仿宋_GB2312"/>
          <w:b w:val="0"/>
          <w:bCs w:val="0"/>
          <w:sz w:val="32"/>
          <w:szCs w:val="32"/>
          <w:lang w:eastAsia="zh-CN"/>
        </w:rPr>
        <w:t>：反映用于民兵建设与管理等方面的支出</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14</w:t>
      </w:r>
      <w:r>
        <w:rPr>
          <w:rFonts w:hint="eastAsia" w:ascii="仿宋_GB2312" w:hAnsi="ˎ̥" w:eastAsia="仿宋_GB2312"/>
          <w:b w:val="0"/>
          <w:bCs w:val="0"/>
          <w:sz w:val="32"/>
          <w:szCs w:val="32"/>
        </w:rPr>
        <w:t>.文化旅游体育与传媒支出（类）文化和旅游（款）群众文化（项）</w:t>
      </w:r>
      <w:r>
        <w:rPr>
          <w:rFonts w:hint="eastAsia" w:ascii="仿宋_GB2312" w:hAnsi="ˎ̥" w:eastAsia="仿宋_GB2312"/>
          <w:b w:val="0"/>
          <w:bCs w:val="0"/>
          <w:sz w:val="32"/>
          <w:szCs w:val="32"/>
          <w:lang w:eastAsia="zh-CN"/>
        </w:rPr>
        <w:t>：反映群众文化方面的支出，包括基层文化馆（站）、群众艺术馆支出等</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15</w:t>
      </w:r>
      <w:r>
        <w:rPr>
          <w:rFonts w:hint="eastAsia" w:ascii="仿宋_GB2312" w:hAnsi="ˎ̥" w:eastAsia="仿宋_GB2312"/>
          <w:b w:val="0"/>
          <w:bCs w:val="0"/>
          <w:sz w:val="32"/>
          <w:szCs w:val="32"/>
        </w:rPr>
        <w:t>.社会保障和就业支出（类）行政事业单位养老支出（款）机关事业单位基本养老保险缴费支出（项）</w:t>
      </w:r>
      <w:r>
        <w:rPr>
          <w:rFonts w:hint="eastAsia" w:ascii="仿宋_GB2312" w:hAnsi="ˎ̥" w:eastAsia="仿宋_GB2312"/>
          <w:b w:val="0"/>
          <w:bCs w:val="0"/>
          <w:sz w:val="32"/>
          <w:szCs w:val="32"/>
          <w:lang w:eastAsia="zh-CN"/>
        </w:rPr>
        <w:t>：反映各级财政部门对机关事业单位基本养老保险基金收支缺口的补助</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16</w:t>
      </w:r>
      <w:r>
        <w:rPr>
          <w:rFonts w:hint="eastAsia" w:ascii="仿宋_GB2312" w:hAnsi="ˎ̥" w:eastAsia="仿宋_GB2312"/>
          <w:b w:val="0"/>
          <w:bCs w:val="0"/>
          <w:sz w:val="32"/>
          <w:szCs w:val="32"/>
        </w:rPr>
        <w:t>.社会保障和就业支出（类）残疾人事业（款）残疾人</w:t>
      </w:r>
      <w:r>
        <w:rPr>
          <w:rFonts w:hint="eastAsia" w:ascii="仿宋_GB2312" w:hAnsi="ˎ̥" w:eastAsia="仿宋_GB2312"/>
          <w:b w:val="0"/>
          <w:bCs w:val="0"/>
          <w:sz w:val="32"/>
          <w:szCs w:val="32"/>
          <w:lang w:eastAsia="zh-CN"/>
        </w:rPr>
        <w:t>就业</w:t>
      </w:r>
      <w:r>
        <w:rPr>
          <w:rFonts w:hint="eastAsia" w:ascii="仿宋_GB2312" w:hAnsi="ˎ̥" w:eastAsia="仿宋_GB2312"/>
          <w:b w:val="0"/>
          <w:bCs w:val="0"/>
          <w:sz w:val="32"/>
          <w:szCs w:val="32"/>
        </w:rPr>
        <w:t>（项）</w:t>
      </w:r>
      <w:r>
        <w:rPr>
          <w:rFonts w:hint="eastAsia" w:ascii="仿宋_GB2312" w:hAnsi="ˎ̥" w:eastAsia="仿宋_GB2312"/>
          <w:b w:val="0"/>
          <w:bCs w:val="0"/>
          <w:sz w:val="32"/>
          <w:szCs w:val="32"/>
          <w:lang w:eastAsia="zh-CN"/>
        </w:rPr>
        <w:t>：反映残疾人联合会用于残疾人就业方面的支出</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17</w:t>
      </w:r>
      <w:r>
        <w:rPr>
          <w:rFonts w:hint="eastAsia" w:ascii="仿宋_GB2312" w:hAnsi="ˎ̥" w:eastAsia="仿宋_GB2312"/>
          <w:b w:val="0"/>
          <w:bCs w:val="0"/>
          <w:sz w:val="32"/>
          <w:szCs w:val="32"/>
        </w:rPr>
        <w:t>.卫生健康支出（类）行政事业单位医疗（款）行政单位医疗（项）</w:t>
      </w:r>
      <w:r>
        <w:rPr>
          <w:rFonts w:hint="eastAsia" w:ascii="仿宋_GB2312" w:hAnsi="ˎ̥" w:eastAsia="仿宋_GB2312"/>
          <w:b w:val="0"/>
          <w:bCs w:val="0"/>
          <w:sz w:val="32"/>
          <w:szCs w:val="32"/>
          <w:lang w:eastAsia="zh-CN"/>
        </w:rPr>
        <w:t>：反映财政部门安排的行政单位（包括实行公务员管理的事业单位）基本医疗保险缴费经费，未参加医疗保险的行政单位的公费医疗经费，按国家规定享受离休人员、红军老战士待遇人员的医疗经费。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18</w:t>
      </w:r>
      <w:r>
        <w:rPr>
          <w:rFonts w:hint="eastAsia" w:ascii="仿宋_GB2312" w:hAnsi="ˎ̥" w:eastAsia="仿宋_GB2312"/>
          <w:b w:val="0"/>
          <w:bCs w:val="0"/>
          <w:sz w:val="32"/>
          <w:szCs w:val="32"/>
        </w:rPr>
        <w:t>.卫生健康支出（类）行政事业单位医疗（款）公务员医疗补助（项）</w:t>
      </w:r>
      <w:r>
        <w:rPr>
          <w:rFonts w:hint="eastAsia" w:ascii="仿宋_GB2312" w:hAnsi="ˎ̥" w:eastAsia="仿宋_GB2312"/>
          <w:b w:val="0"/>
          <w:bCs w:val="0"/>
          <w:sz w:val="32"/>
          <w:szCs w:val="32"/>
          <w:lang w:eastAsia="zh-CN"/>
        </w:rPr>
        <w:t>：反映财政部门安排的公务员医疗补助经费</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19</w:t>
      </w:r>
      <w:r>
        <w:rPr>
          <w:rFonts w:hint="eastAsia" w:ascii="仿宋_GB2312" w:hAnsi="ˎ̥" w:eastAsia="仿宋_GB2312"/>
          <w:b w:val="0"/>
          <w:bCs w:val="0"/>
          <w:sz w:val="32"/>
          <w:szCs w:val="32"/>
        </w:rPr>
        <w:t>.城乡社区支出（类）城乡社区环境卫生（款）城乡社区环境卫生（项）</w:t>
      </w:r>
      <w:r>
        <w:rPr>
          <w:rFonts w:hint="eastAsia" w:ascii="仿宋_GB2312" w:hAnsi="ˎ̥" w:eastAsia="仿宋_GB2312"/>
          <w:b w:val="0"/>
          <w:bCs w:val="0"/>
          <w:sz w:val="32"/>
          <w:szCs w:val="32"/>
          <w:lang w:eastAsia="zh-CN"/>
        </w:rPr>
        <w:t>：反映城乡社区道路清扫、垃圾清运与处理、公厕建设与维护、园林绿化等方面的支出</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20</w:t>
      </w:r>
      <w:r>
        <w:rPr>
          <w:rFonts w:hint="eastAsia" w:ascii="仿宋_GB2312" w:hAnsi="ˎ̥" w:eastAsia="仿宋_GB2312"/>
          <w:b w:val="0"/>
          <w:bCs w:val="0"/>
          <w:sz w:val="32"/>
          <w:szCs w:val="32"/>
        </w:rPr>
        <w:t>.农林水支出（类）农业农村（款）农业生态资源保护（项）</w:t>
      </w:r>
      <w:r>
        <w:rPr>
          <w:rFonts w:hint="eastAsia" w:ascii="仿宋_GB2312" w:hAnsi="ˎ̥" w:eastAsia="仿宋_GB2312"/>
          <w:b w:val="0"/>
          <w:bCs w:val="0"/>
          <w:sz w:val="32"/>
          <w:szCs w:val="32"/>
          <w:lang w:eastAsia="zh-CN"/>
        </w:rPr>
        <w:t>：反映用于草原草场利用，渔业水域资源环境保护，农业品种改良提升以及农业生物资源调研收集、鉴定评价、保存利用等方面的支出</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21</w:t>
      </w:r>
      <w:r>
        <w:rPr>
          <w:rFonts w:hint="eastAsia" w:ascii="仿宋_GB2312" w:hAnsi="ˎ̥" w:eastAsia="仿宋_GB2312"/>
          <w:b w:val="0"/>
          <w:bCs w:val="0"/>
          <w:sz w:val="32"/>
          <w:szCs w:val="32"/>
        </w:rPr>
        <w:t>.农林水支出（类）林业和草原（款）林业草原防灾减灾（项）</w:t>
      </w:r>
      <w:r>
        <w:rPr>
          <w:rFonts w:hint="eastAsia" w:ascii="仿宋_GB2312" w:hAnsi="ˎ̥" w:eastAsia="仿宋_GB2312"/>
          <w:b w:val="0"/>
          <w:bCs w:val="0"/>
          <w:sz w:val="32"/>
          <w:szCs w:val="32"/>
          <w:lang w:eastAsia="zh-CN"/>
        </w:rPr>
        <w:t>：反映用于病虫害等有害生物灾害、森林草原防火、野生动物疫病灾害等方面的支出</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22</w:t>
      </w:r>
      <w:r>
        <w:rPr>
          <w:rFonts w:hint="eastAsia" w:ascii="仿宋_GB2312" w:hAnsi="ˎ̥" w:eastAsia="仿宋_GB2312"/>
          <w:b w:val="0"/>
          <w:bCs w:val="0"/>
          <w:sz w:val="32"/>
          <w:szCs w:val="32"/>
        </w:rPr>
        <w:t>.农林水支出（类）水利（款）其他水利支出（项）</w:t>
      </w:r>
      <w:r>
        <w:rPr>
          <w:rFonts w:hint="eastAsia" w:ascii="仿宋_GB2312" w:hAnsi="ˎ̥" w:eastAsia="仿宋_GB2312"/>
          <w:b w:val="0"/>
          <w:bCs w:val="0"/>
          <w:sz w:val="32"/>
          <w:szCs w:val="32"/>
          <w:lang w:eastAsia="zh-CN"/>
        </w:rPr>
        <w:t>：反映除上述项目以外其他用于水利方面的支出</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23</w:t>
      </w:r>
      <w:r>
        <w:rPr>
          <w:rFonts w:hint="eastAsia" w:ascii="仿宋_GB2312" w:hAnsi="ˎ̥" w:eastAsia="仿宋_GB2312"/>
          <w:b w:val="0"/>
          <w:bCs w:val="0"/>
          <w:sz w:val="32"/>
          <w:szCs w:val="32"/>
        </w:rPr>
        <w:t>.农林水支出（类）巩固脱贫攻坚成果衔接乡村振兴（款）农村基础设施建设（项）</w:t>
      </w:r>
      <w:r>
        <w:rPr>
          <w:rFonts w:hint="eastAsia" w:ascii="仿宋_GB2312" w:hAnsi="ˎ̥" w:eastAsia="仿宋_GB2312"/>
          <w:b w:val="0"/>
          <w:bCs w:val="0"/>
          <w:sz w:val="32"/>
          <w:szCs w:val="32"/>
          <w:lang w:eastAsia="zh-CN"/>
        </w:rPr>
        <w:t>：反映用于农村欠发达地区乡村道路、住房、基本农田、水利设施、人畜饮水、生态环境保护等生产生活条件改善方面的支出</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24</w:t>
      </w:r>
      <w:r>
        <w:rPr>
          <w:rFonts w:hint="eastAsia" w:ascii="仿宋_GB2312" w:hAnsi="ˎ̥" w:eastAsia="仿宋_GB2312"/>
          <w:b w:val="0"/>
          <w:bCs w:val="0"/>
          <w:sz w:val="32"/>
          <w:szCs w:val="32"/>
        </w:rPr>
        <w:t>.农林水支出（类）农村综合改革（款）对村民委员会和村党支部的补助（项）</w:t>
      </w:r>
      <w:r>
        <w:rPr>
          <w:rFonts w:hint="eastAsia" w:ascii="仿宋_GB2312" w:hAnsi="ˎ̥" w:eastAsia="仿宋_GB2312"/>
          <w:b w:val="0"/>
          <w:bCs w:val="0"/>
          <w:sz w:val="32"/>
          <w:szCs w:val="32"/>
          <w:lang w:eastAsia="zh-CN"/>
        </w:rPr>
        <w:t>：反映各级财政对村民委员会和村党支部的补助支出，以及支持建立县级基本财力保障机制安排的村级组织运转奖补资金</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25</w:t>
      </w:r>
      <w:r>
        <w:rPr>
          <w:rFonts w:hint="eastAsia" w:ascii="仿宋_GB2312" w:hAnsi="ˎ̥" w:eastAsia="仿宋_GB2312"/>
          <w:b w:val="0"/>
          <w:bCs w:val="0"/>
          <w:sz w:val="32"/>
          <w:szCs w:val="32"/>
        </w:rPr>
        <w:t>.交通运输支出（类）公路水路运输（款）行政运行（项）</w:t>
      </w:r>
      <w:r>
        <w:rPr>
          <w:rFonts w:hint="eastAsia" w:ascii="仿宋_GB2312" w:hAnsi="ˎ̥" w:eastAsia="仿宋_GB2312"/>
          <w:b w:val="0"/>
          <w:bCs w:val="0"/>
          <w:sz w:val="32"/>
          <w:szCs w:val="32"/>
          <w:lang w:eastAsia="zh-CN"/>
        </w:rPr>
        <w:t>：反映行政单位（包括实行公务员管理的事业单位）的基本支出</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26</w:t>
      </w:r>
      <w:r>
        <w:rPr>
          <w:rFonts w:hint="eastAsia" w:ascii="仿宋_GB2312" w:hAnsi="ˎ̥" w:eastAsia="仿宋_GB2312"/>
          <w:b w:val="0"/>
          <w:bCs w:val="0"/>
          <w:sz w:val="32"/>
          <w:szCs w:val="32"/>
        </w:rPr>
        <w:t>.住房保障支出（类）住房改革支出（款）住房公积金（项）</w:t>
      </w:r>
      <w:r>
        <w:rPr>
          <w:rFonts w:hint="eastAsia" w:ascii="仿宋_GB2312" w:hAnsi="ˎ̥" w:eastAsia="仿宋_GB2312"/>
          <w:b w:val="0"/>
          <w:bCs w:val="0"/>
          <w:sz w:val="32"/>
          <w:szCs w:val="32"/>
          <w:lang w:eastAsia="zh-CN"/>
        </w:rPr>
        <w:t>：反映行政事业单位按人力资源和社会保障部、财政部规定的基本工资和津贴补贴，以及规定比例为职工缴纳的住房公积金</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27</w:t>
      </w:r>
      <w:r>
        <w:rPr>
          <w:rFonts w:hint="eastAsia" w:ascii="仿宋_GB2312" w:hAnsi="ˎ̥" w:eastAsia="仿宋_GB2312"/>
          <w:b w:val="0"/>
          <w:bCs w:val="0"/>
          <w:sz w:val="32"/>
          <w:szCs w:val="32"/>
        </w:rPr>
        <w:t>.住房保障支出（类）住房改革支出（款）购房补贴（项）</w:t>
      </w:r>
      <w:r>
        <w:rPr>
          <w:rFonts w:hint="eastAsia" w:ascii="仿宋_GB2312" w:hAnsi="ˎ̥" w:eastAsia="仿宋_GB2312"/>
          <w:b w:val="0"/>
          <w:bCs w:val="0"/>
          <w:sz w:val="32"/>
          <w:szCs w:val="32"/>
          <w:lang w:eastAsia="zh-CN"/>
        </w:rPr>
        <w:t>：反映按房改政策规定，行政事业单位向符合条件的职工含离退休人员、军队含武警向转移复员离退休人员发放的用于购买住房的补贴</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28</w:t>
      </w:r>
      <w:r>
        <w:rPr>
          <w:rFonts w:hint="eastAsia" w:ascii="仿宋_GB2312" w:hAnsi="ˎ̥" w:eastAsia="仿宋_GB2312"/>
          <w:b w:val="0"/>
          <w:bCs w:val="0"/>
          <w:sz w:val="32"/>
          <w:szCs w:val="32"/>
        </w:rPr>
        <w:t>.粮油物资储备支出（类）重要商品储备（款）应急物资储备（项）</w:t>
      </w:r>
      <w:r>
        <w:rPr>
          <w:rFonts w:hint="eastAsia" w:ascii="仿宋_GB2312" w:hAnsi="ˎ̥" w:eastAsia="仿宋_GB2312"/>
          <w:b w:val="0"/>
          <w:bCs w:val="0"/>
          <w:sz w:val="32"/>
          <w:szCs w:val="32"/>
          <w:lang w:eastAsia="zh-CN"/>
        </w:rPr>
        <w:t>：反映用于救灾物资、防汛抗旱物资等应急物资储备的支出</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b w:val="0"/>
          <w:bCs w:val="0"/>
          <w:sz w:val="32"/>
          <w:szCs w:val="32"/>
          <w:lang w:val="en-US" w:eastAsia="zh-CN"/>
        </w:rPr>
      </w:pPr>
      <w:r>
        <w:rPr>
          <w:rFonts w:hint="eastAsia" w:ascii="仿宋_GB2312" w:hAnsi="ˎ̥" w:eastAsia="仿宋_GB2312"/>
          <w:b w:val="0"/>
          <w:bCs w:val="0"/>
          <w:sz w:val="32"/>
          <w:szCs w:val="32"/>
          <w:lang w:val="en-US" w:eastAsia="zh-CN"/>
        </w:rPr>
        <w:t>29</w:t>
      </w:r>
      <w:r>
        <w:rPr>
          <w:rFonts w:hint="eastAsia" w:ascii="仿宋_GB2312" w:hAnsi="ˎ̥" w:eastAsia="仿宋_GB2312"/>
          <w:b w:val="0"/>
          <w:bCs w:val="0"/>
          <w:sz w:val="32"/>
          <w:szCs w:val="32"/>
        </w:rPr>
        <w:t>.灾害防治及应急管理支出（类）消防救援事务（款）其他消防救援事务支出（项）</w:t>
      </w:r>
      <w:r>
        <w:rPr>
          <w:rFonts w:hint="eastAsia" w:ascii="仿宋_GB2312" w:hAnsi="ˎ̥" w:eastAsia="仿宋_GB2312"/>
          <w:b w:val="0"/>
          <w:bCs w:val="0"/>
          <w:sz w:val="32"/>
          <w:szCs w:val="32"/>
          <w:lang w:eastAsia="zh-CN"/>
        </w:rPr>
        <w:t>：反映除上述项目以外其他用于消防救援方面的支出</w:t>
      </w:r>
      <w:r>
        <w:rPr>
          <w:rFonts w:hint="eastAsia" w:ascii="仿宋_GB2312" w:hAnsi="ˎ̥" w:eastAsia="仿宋_GB2312"/>
          <w:b w:val="0"/>
          <w:bCs w:val="0"/>
          <w:sz w:val="32"/>
          <w:szCs w:val="32"/>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362EA"/>
    <w:multiLevelType w:val="singleLevel"/>
    <w:tmpl w:val="8B4362EA"/>
    <w:lvl w:ilvl="0" w:tentative="0">
      <w:start w:val="1"/>
      <w:numFmt w:val="chineseCounting"/>
      <w:suff w:val="nothing"/>
      <w:lvlText w:val="%1、"/>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FDD2B46B"/>
    <w:multiLevelType w:val="singleLevel"/>
    <w:tmpl w:val="FDD2B46B"/>
    <w:lvl w:ilvl="0" w:tentative="0">
      <w:start w:val="1"/>
      <w:numFmt w:val="chineseCounting"/>
      <w:suff w:val="nothing"/>
      <w:lvlText w:val="%1、"/>
      <w:lvlJc w:val="left"/>
      <w:rPr>
        <w:rFonts w:hint="eastAsia"/>
      </w:rPr>
    </w:lvl>
  </w:abstractNum>
  <w:abstractNum w:abstractNumId="3">
    <w:nsid w:val="72109F8D"/>
    <w:multiLevelType w:val="singleLevel"/>
    <w:tmpl w:val="72109F8D"/>
    <w:lvl w:ilvl="0" w:tentative="0">
      <w:start w:val="7"/>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2A4476B"/>
    <w:rsid w:val="085B09E1"/>
    <w:rsid w:val="08666BFD"/>
    <w:rsid w:val="09201287"/>
    <w:rsid w:val="0B9611D0"/>
    <w:rsid w:val="0BCB2A5E"/>
    <w:rsid w:val="0D657CAC"/>
    <w:rsid w:val="0FC80124"/>
    <w:rsid w:val="0FF44C07"/>
    <w:rsid w:val="136F98C7"/>
    <w:rsid w:val="17427E68"/>
    <w:rsid w:val="1755065F"/>
    <w:rsid w:val="19645F4F"/>
    <w:rsid w:val="1AFC29C9"/>
    <w:rsid w:val="1B0148F2"/>
    <w:rsid w:val="1BA71BC7"/>
    <w:rsid w:val="1CA52F2E"/>
    <w:rsid w:val="1DFE370B"/>
    <w:rsid w:val="1E3630B9"/>
    <w:rsid w:val="210C21E0"/>
    <w:rsid w:val="23A1213F"/>
    <w:rsid w:val="23CE1FDE"/>
    <w:rsid w:val="26EEC2B5"/>
    <w:rsid w:val="29472309"/>
    <w:rsid w:val="2B406E77"/>
    <w:rsid w:val="2C2A0C43"/>
    <w:rsid w:val="2D1E73A5"/>
    <w:rsid w:val="2D831E43"/>
    <w:rsid w:val="2E4C35AE"/>
    <w:rsid w:val="32717154"/>
    <w:rsid w:val="329B0525"/>
    <w:rsid w:val="331529E0"/>
    <w:rsid w:val="3432667C"/>
    <w:rsid w:val="34B63260"/>
    <w:rsid w:val="366652B8"/>
    <w:rsid w:val="37FDA7E2"/>
    <w:rsid w:val="380B4819"/>
    <w:rsid w:val="3A314D88"/>
    <w:rsid w:val="3A746883"/>
    <w:rsid w:val="3B431E00"/>
    <w:rsid w:val="3C8E5452"/>
    <w:rsid w:val="3CA15DE9"/>
    <w:rsid w:val="3DE840A7"/>
    <w:rsid w:val="3E67693F"/>
    <w:rsid w:val="3FE61EE5"/>
    <w:rsid w:val="406508EE"/>
    <w:rsid w:val="408D6263"/>
    <w:rsid w:val="413C37E5"/>
    <w:rsid w:val="41B40CEE"/>
    <w:rsid w:val="42BE7797"/>
    <w:rsid w:val="48102E4A"/>
    <w:rsid w:val="48317291"/>
    <w:rsid w:val="485F7024"/>
    <w:rsid w:val="48E70666"/>
    <w:rsid w:val="4A767C3F"/>
    <w:rsid w:val="4C6877E5"/>
    <w:rsid w:val="4D6A468D"/>
    <w:rsid w:val="4EA86137"/>
    <w:rsid w:val="536A426E"/>
    <w:rsid w:val="53AA3D5E"/>
    <w:rsid w:val="54866DF9"/>
    <w:rsid w:val="56CA7FD0"/>
    <w:rsid w:val="57FA38D1"/>
    <w:rsid w:val="5CC60F2F"/>
    <w:rsid w:val="5F7D3333"/>
    <w:rsid w:val="613025C6"/>
    <w:rsid w:val="61385890"/>
    <w:rsid w:val="619D7B0C"/>
    <w:rsid w:val="63F84F14"/>
    <w:rsid w:val="6504510C"/>
    <w:rsid w:val="68254537"/>
    <w:rsid w:val="687436E1"/>
    <w:rsid w:val="6A255D80"/>
    <w:rsid w:val="6A45151D"/>
    <w:rsid w:val="6C881F5C"/>
    <w:rsid w:val="6DA45C50"/>
    <w:rsid w:val="6E9A7825"/>
    <w:rsid w:val="6F670F9B"/>
    <w:rsid w:val="703561B0"/>
    <w:rsid w:val="737450E0"/>
    <w:rsid w:val="73B21561"/>
    <w:rsid w:val="74054476"/>
    <w:rsid w:val="742F38C4"/>
    <w:rsid w:val="74AB66DC"/>
    <w:rsid w:val="74C4154C"/>
    <w:rsid w:val="75956FFF"/>
    <w:rsid w:val="77372AE7"/>
    <w:rsid w:val="77AA2D01"/>
    <w:rsid w:val="78E21CFE"/>
    <w:rsid w:val="7AFE6DDD"/>
    <w:rsid w:val="7CDE1DBD"/>
    <w:rsid w:val="7D943A85"/>
    <w:rsid w:val="7DB0448C"/>
    <w:rsid w:val="7E4032E2"/>
    <w:rsid w:val="7E5F9AA4"/>
    <w:rsid w:val="7EF5F0A1"/>
    <w:rsid w:val="8FFC8888"/>
    <w:rsid w:val="A7F73C99"/>
    <w:rsid w:val="B8E509A7"/>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link w:val="12"/>
    <w:qFormat/>
    <w:uiPriority w:val="0"/>
    <w:pPr>
      <w:jc w:val="left"/>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qFormat/>
    <w:uiPriority w:val="0"/>
    <w:rPr>
      <w:b/>
      <w:bCs/>
    </w:rPr>
  </w:style>
  <w:style w:type="character" w:styleId="10">
    <w:name w:val="page number"/>
    <w:qFormat/>
    <w:uiPriority w:val="0"/>
  </w:style>
  <w:style w:type="character" w:styleId="11">
    <w:name w:val="annotation reference"/>
    <w:qFormat/>
    <w:uiPriority w:val="0"/>
    <w:rPr>
      <w:sz w:val="21"/>
      <w:szCs w:val="21"/>
    </w:rPr>
  </w:style>
  <w:style w:type="character" w:customStyle="1" w:styleId="12">
    <w:name w:val="批注文字 Char"/>
    <w:link w:val="3"/>
    <w:qFormat/>
    <w:uiPriority w:val="0"/>
    <w:rPr>
      <w:kern w:val="2"/>
      <w:sz w:val="21"/>
      <w:szCs w:val="24"/>
    </w:rPr>
  </w:style>
  <w:style w:type="character" w:customStyle="1" w:styleId="13">
    <w:name w:val="批注框文本 Char"/>
    <w:link w:val="4"/>
    <w:qFormat/>
    <w:uiPriority w:val="0"/>
    <w:rPr>
      <w:kern w:val="2"/>
      <w:sz w:val="18"/>
      <w:szCs w:val="18"/>
    </w:rPr>
  </w:style>
  <w:style w:type="character" w:customStyle="1" w:styleId="14">
    <w:name w:val="页眉 Char"/>
    <w:link w:val="6"/>
    <w:qFormat/>
    <w:uiPriority w:val="0"/>
    <w:rPr>
      <w:kern w:val="2"/>
      <w:sz w:val="18"/>
      <w:szCs w:val="18"/>
    </w:rPr>
  </w:style>
  <w:style w:type="character" w:customStyle="1" w:styleId="15">
    <w:name w:val="批注主题 Char"/>
    <w:link w:val="7"/>
    <w:qFormat/>
    <w:uiPriority w:val="0"/>
    <w:rPr>
      <w:b/>
      <w:bCs/>
      <w:kern w:val="2"/>
      <w:sz w:val="21"/>
      <w:szCs w:val="24"/>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Chars="200"/>
    </w:pPr>
    <w:rPr>
      <w:rFonts w:ascii="Times New Roman" w:hAnsi="Times New Roman" w:eastAsia="宋体" w:cs="Times New Roman"/>
      <w:lang w:val="en-US" w:eastAsia="zh-CN" w:bidi="ar-SA"/>
    </w:rPr>
  </w:style>
  <w:style w:type="paragraph" w:customStyle="1" w:styleId="18">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H:\&#26032;&#24314;%20XLS%20&#24037;&#20316;&#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26032;&#24314;%20XLS%20&#24037;&#20316;&#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26032;&#24314;%20XLS%20&#24037;&#20316;&#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26032;&#24314;%20XLS%20&#24037;&#20316;&#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26032;&#24314;%20XLS%20&#24037;&#20316;&#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H:\&#26032;&#24314;%20XLS%20&#24037;&#20316;&#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sz="1400" b="1" i="0" u="none" strike="noStrike" baseline="0">
                <a:solidFill>
                  <a:srgbClr val="333333"/>
                </a:solidFill>
                <a:latin typeface="宋体" charset="-122"/>
                <a:ea typeface="宋体" charset="-122"/>
                <a:cs typeface="宋体" charset="-122"/>
              </a:rPr>
              <a:t>图</a:t>
            </a:r>
            <a:r>
              <a:rPr lang="en-US" altLang="zh-CN" sz="1400" b="1"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a:t>
            </a:r>
            <a:r>
              <a:rPr altLang="en-US" sz="1400" b="1" i="0" u="none" strike="noStrike" baseline="0">
                <a:solidFill>
                  <a:srgbClr val="333333"/>
                </a:solidFill>
                <a:latin typeface="宋体" charset="-122"/>
                <a:ea typeface="宋体" charset="-122"/>
                <a:cs typeface="宋体" charset="-122"/>
              </a:rPr>
              <a:t>：收、支决算总计变动情况表</a:t>
            </a:r>
            <a:endParaRPr altLang="en-US" sz="1400" b="1" i="0" u="none" strike="noStrike" baseline="0">
              <a:solidFill>
                <a:srgbClr val="333333"/>
              </a:solidFill>
              <a:latin typeface="宋体" charset="-122"/>
              <a:ea typeface="宋体" charset="-122"/>
              <a:cs typeface="宋体" charset="-122"/>
            </a:endParaRPr>
          </a:p>
          <a:p>
            <a:pPr defTabSz="914400">
              <a:defRPr lang="zh-CN" sz="1400" b="0" i="0" u="none" strike="noStrike" kern="1200" spc="0" baseline="0">
                <a:solidFill>
                  <a:schemeClr val="tx1">
                    <a:lumMod val="65000"/>
                    <a:lumOff val="35000"/>
                  </a:schemeClr>
                </a:solidFill>
                <a:latin typeface="+mn-lt"/>
                <a:ea typeface="+mn-ea"/>
                <a:cs typeface="+mn-cs"/>
              </a:defRPr>
            </a:pPr>
            <a:r>
              <a:rPr altLang="en-US" sz="1400" b="1" i="0" u="none" strike="noStrike" baseline="0">
                <a:solidFill>
                  <a:srgbClr val="333333"/>
                </a:solidFill>
                <a:latin typeface="宋体" charset="-122"/>
                <a:ea typeface="宋体" charset="-122"/>
                <a:cs typeface="宋体" charset="-122"/>
              </a:rPr>
              <a:t>（单位：万元）</a:t>
            </a:r>
            <a:endParaRPr sz="1200" b="0" i="0" u="none" strike="noStrike" baseline="0">
              <a:solidFill>
                <a:srgbClr val="000000"/>
              </a:solidFill>
              <a:latin typeface="宋体" charset="-122"/>
              <a:ea typeface="宋体" charset="-122"/>
              <a:cs typeface="宋体" charset="-122"/>
            </a:endParaRP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Pt>
            <c:idx val="1"/>
            <c:invertIfNegative val="false"/>
            <c:bubble3D val="false"/>
            <c:explosion val="0"/>
            <c:spPr>
              <a:gradFill>
                <a:gsLst>
                  <a:gs pos="0">
                    <a:srgbClr val="FE4444"/>
                  </a:gs>
                  <a:gs pos="100000">
                    <a:srgbClr val="832B2B"/>
                  </a:gs>
                </a:gsLst>
                <a:lin ang="5400000" scaled="false"/>
              </a:gradFill>
              <a:ln>
                <a:noFill/>
              </a:ln>
              <a:effectLst/>
            </c:spPr>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'[新建 XLS 工作表.xls]1'!$B$1:$C$1</c:f>
              <c:strCache>
                <c:ptCount val="2"/>
                <c:pt idx="0">
                  <c:v>2024年度</c:v>
                </c:pt>
                <c:pt idx="1">
                  <c:v>2023年度</c:v>
                </c:pt>
              </c:strCache>
            </c:strRef>
          </c:cat>
          <c:val>
            <c:numRef>
              <c:f>'[新建 XLS 工作表.xls]1'!$B$2:$C$2</c:f>
              <c:numCache>
                <c:formatCode>General</c:formatCode>
                <c:ptCount val="2"/>
                <c:pt idx="0">
                  <c:v>2413.05</c:v>
                </c:pt>
                <c:pt idx="1">
                  <c:v>2312.18</c:v>
                </c:pt>
              </c:numCache>
            </c:numRef>
          </c:val>
        </c:ser>
        <c:dLbls>
          <c:showLegendKey val="false"/>
          <c:showVal val="false"/>
          <c:showCatName val="false"/>
          <c:showSerName val="false"/>
          <c:showPercent val="false"/>
          <c:showBubbleSize val="false"/>
        </c:dLbls>
        <c:gapWidth val="219"/>
        <c:overlap val="-27"/>
        <c:axId val="512038420"/>
        <c:axId val="644818204"/>
      </c:barChart>
      <c:catAx>
        <c:axId val="512038420"/>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44818204"/>
        <c:crosses val="autoZero"/>
        <c:auto val="true"/>
        <c:lblAlgn val="ctr"/>
        <c:lblOffset val="100"/>
        <c:noMultiLvlLbl val="false"/>
      </c:catAx>
      <c:valAx>
        <c:axId val="644818204"/>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12038420"/>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t>图2：收入决算结构图</a:t>
            </a:r>
            <a:endParaRPr sz="1400" b="1" i="0" u="none" strike="noStrike" baseline="0">
              <a:solidFill>
                <a:srgbClr val="404040">
                  <a:alpha val="100000"/>
                </a:srgbClr>
              </a:solidFill>
              <a:latin typeface="宋体" charset="-122"/>
              <a:ea typeface="宋体" charset="-122"/>
              <a:cs typeface="宋体" charset="-122"/>
            </a:endParaRPr>
          </a:p>
        </c:rich>
      </c:tx>
      <c:layout/>
      <c:overlay val="false"/>
      <c:spPr>
        <a:noFill/>
        <a:ln>
          <a:noFill/>
        </a:ln>
        <a:effectLst/>
      </c:spPr>
    </c:title>
    <c:autoTitleDeleted val="false"/>
    <c:plotArea>
      <c:layout/>
      <c:pieChart>
        <c:varyColors val="true"/>
        <c:ser>
          <c:idx val="0"/>
          <c:order val="0"/>
          <c:spPr>
            <a:scene3d>
              <a:camera prst="orthographicFront"/>
              <a:lightRig rig="threePt" dir="t"/>
            </a:scene3d>
            <a:sp3d contourW="9525"/>
          </c:spPr>
          <c:explosion val="0"/>
          <c:dPt>
            <c:idx val="0"/>
            <c:bubble3D val="false"/>
            <c:explosion val="0"/>
            <c:spPr>
              <a:solidFill>
                <a:schemeClr val="accent1"/>
              </a:solidFill>
              <a:ln>
                <a:solidFill>
                  <a:schemeClr val="bg1"/>
                </a:solidFill>
              </a:ln>
              <a:effectLst/>
              <a:scene3d>
                <a:camera prst="orthographicFront"/>
                <a:lightRig rig="threePt" dir="t"/>
              </a:scene3d>
              <a:sp3d contourW="9525"/>
            </c:spPr>
          </c:dPt>
          <c:dPt>
            <c:idx val="1"/>
            <c:bubble3D val="false"/>
            <c:explosion val="0"/>
            <c:spPr>
              <a:solidFill>
                <a:schemeClr val="accent2"/>
              </a:solidFill>
              <a:ln>
                <a:solidFill>
                  <a:schemeClr val="bg1"/>
                </a:solidFill>
              </a:ln>
              <a:effectLst/>
              <a:scene3d>
                <a:camera prst="orthographicFront"/>
                <a:lightRig rig="threePt" dir="t"/>
              </a:scene3d>
              <a:sp3d contourW="9525"/>
            </c:spPr>
          </c:dPt>
          <c:dPt>
            <c:idx val="2"/>
            <c:bubble3D val="false"/>
            <c:explosion val="0"/>
            <c:spPr>
              <a:solidFill>
                <a:schemeClr val="accent3"/>
              </a:solidFill>
              <a:ln>
                <a:solidFill>
                  <a:schemeClr val="bg1"/>
                </a:solidFill>
              </a:ln>
              <a:effectLst/>
              <a:scene3d>
                <a:camera prst="orthographicFront"/>
                <a:lightRig rig="threePt" dir="t"/>
              </a:scene3d>
              <a:sp3d contourW="9525"/>
            </c:spPr>
          </c:dPt>
          <c:dPt>
            <c:idx val="3"/>
            <c:bubble3D val="false"/>
            <c:explosion val="0"/>
            <c:spPr>
              <a:solidFill>
                <a:schemeClr val="accent4"/>
              </a:solidFill>
              <a:ln>
                <a:solidFill>
                  <a:schemeClr val="bg1"/>
                </a:solidFill>
              </a:ln>
              <a:effectLst/>
              <a:scene3d>
                <a:camera prst="orthographicFront"/>
                <a:lightRig rig="threePt" dir="t"/>
              </a:scene3d>
              <a:sp3d contourW="9525"/>
            </c:spPr>
          </c:dPt>
          <c:dLbls>
            <c:dLbl>
              <c:idx val="1"/>
              <c:layout>
                <c:manualLayout>
                  <c:x val="-0.00592183181997631"/>
                  <c:y val="-0.150276017174402"/>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true"/>
              <c:showSerName val="false"/>
              <c:showPercent val="false"/>
              <c:showBubbleSize val="false"/>
              <c:extLst>
                <c:ext xmlns:c15="http://schemas.microsoft.com/office/drawing/2012/chart" uri="{CE6537A1-D6FC-4f65-9D91-7224C49458BB}">
                  <c15:layout/>
                </c:ext>
              </c:extLst>
            </c:dLbl>
            <c:dLbl>
              <c:idx val="2"/>
              <c:layout>
                <c:manualLayout>
                  <c:x val="0.0118436636399526"/>
                  <c:y val="0.0920057248006543"/>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tru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tru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rgbClr val="000000">
                          <a:alpha val="100000"/>
                        </a:srgbClr>
                      </a:solidFill>
                      <a:prstDash val="solid"/>
                      <a:round/>
                    </a:ln>
                  </c:spPr>
                </c15:leaderLines>
              </c:ext>
            </c:extLst>
          </c:dLbls>
          <c:cat>
            <c:strRef>
              <c:f>'[新建 XLS 工作表.xls]1'!$B$17:$E$17</c:f>
              <c:strCache>
                <c:ptCount val="4"/>
                <c:pt idx="0">
                  <c:v>财政拨款收入</c:v>
                </c:pt>
                <c:pt idx="1">
                  <c:v>事业收入</c:v>
                </c:pt>
                <c:pt idx="2">
                  <c:v>其他收入</c:v>
                </c:pt>
              </c:strCache>
            </c:strRef>
          </c:cat>
          <c:val>
            <c:numRef>
              <c:f>'[新建 XLS 工作表.xls]1'!$B$18:$E$18</c:f>
              <c:numCache>
                <c:formatCode>#,##0.00</c:formatCode>
                <c:ptCount val="4"/>
                <c:pt idx="0">
                  <c:v>2245.06</c:v>
                </c:pt>
              </c:numCache>
            </c:numRef>
          </c:val>
        </c:ser>
        <c:dLbls>
          <c:showLegendKey val="false"/>
          <c:showVal val="false"/>
          <c:showCatName val="false"/>
          <c:showSerName val="false"/>
          <c:showPercent val="false"/>
          <c:showBubbleSize val="false"/>
          <c:showLeaderLines val="true"/>
        </c:dLbls>
        <c:firstSliceAng val="82"/>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sz="1400" b="1" i="0" u="none" strike="noStrike" baseline="0">
                <a:solidFill>
                  <a:srgbClr val="333333"/>
                </a:solidFill>
                <a:latin typeface="宋体" charset="-122"/>
                <a:ea typeface="宋体" charset="-122"/>
                <a:cs typeface="宋体" charset="-122"/>
              </a:rPr>
              <a:t>图</a:t>
            </a:r>
            <a:r>
              <a:rPr lang="en-US" altLang="zh-CN" sz="1400" b="1"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3</a:t>
            </a:r>
            <a:r>
              <a:rPr altLang="en-US" sz="1400" b="1" i="0" u="none" strike="noStrike" baseline="0">
                <a:solidFill>
                  <a:srgbClr val="333333"/>
                </a:solidFill>
                <a:latin typeface="宋体" charset="-122"/>
                <a:ea typeface="宋体" charset="-122"/>
                <a:cs typeface="宋体" charset="-122"/>
              </a:rPr>
              <a:t>：</a:t>
            </a:r>
            <a:r>
              <a:rPr altLang="en-US" sz="1400" b="1" i="0" u="none" strike="noStrike" baseline="0">
                <a:solidFill>
                  <a:srgbClr val="000000"/>
                </a:solidFill>
                <a:latin typeface="宋体" charset="-122"/>
                <a:ea typeface="宋体" charset="-122"/>
                <a:cs typeface="宋体" charset="-122"/>
              </a:rPr>
              <a:t>支出决算结构图</a:t>
            </a:r>
            <a:endParaRPr altLang="en-US" sz="1200" b="0" i="0" u="none" strike="noStrike" baseline="0">
              <a:solidFill>
                <a:srgbClr val="000000"/>
              </a:solidFill>
              <a:latin typeface="宋体" charset="-122"/>
              <a:ea typeface="宋体" charset="-122"/>
              <a:cs typeface="宋体" charset="-122"/>
            </a:endParaRPr>
          </a:p>
        </c:rich>
      </c:tx>
      <c:layout/>
      <c:overlay val="false"/>
      <c:spPr>
        <a:noFill/>
        <a:ln>
          <a:noFill/>
        </a:ln>
        <a:effectLst/>
      </c:spPr>
    </c:title>
    <c:autoTitleDeleted val="false"/>
    <c:plotArea>
      <c:layout/>
      <c:pieChart>
        <c:varyColors val="true"/>
        <c:ser>
          <c:idx val="0"/>
          <c:order val="0"/>
          <c:explosion val="8"/>
          <c:dPt>
            <c:idx val="0"/>
            <c:bubble3D val="false"/>
            <c:explosion val="8"/>
            <c:spPr>
              <a:solidFill>
                <a:schemeClr val="accent1"/>
              </a:solidFill>
              <a:ln w="19050">
                <a:solidFill>
                  <a:schemeClr val="lt1"/>
                </a:solidFill>
              </a:ln>
              <a:effectLst/>
            </c:spPr>
          </c:dPt>
          <c:dPt>
            <c:idx val="1"/>
            <c:bubble3D val="false"/>
            <c:explosion val="8"/>
            <c:spPr>
              <a:solidFill>
                <a:schemeClr val="accent2"/>
              </a:solidFill>
              <a:ln w="19050">
                <a:solidFill>
                  <a:schemeClr val="lt1"/>
                </a:solidFill>
              </a:ln>
              <a:effectLst/>
            </c:spPr>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tru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rgbClr val="000000">
                          <a:alpha val="100000"/>
                        </a:srgbClr>
                      </a:solidFill>
                      <a:prstDash val="solid"/>
                      <a:round/>
                    </a:ln>
                  </c:spPr>
                </c15:leaderLines>
              </c:ext>
            </c:extLst>
          </c:dLbls>
          <c:cat>
            <c:strRef>
              <c:f>'[新建 XLS 工作表.xls]1'!$B$33:$C$33</c:f>
              <c:strCache>
                <c:ptCount val="2"/>
                <c:pt idx="0">
                  <c:v>基本支出</c:v>
                </c:pt>
                <c:pt idx="1">
                  <c:v>项目支出</c:v>
                </c:pt>
              </c:strCache>
            </c:strRef>
          </c:cat>
          <c:val>
            <c:numRef>
              <c:f>'[新建 XLS 工作表.xls]1'!$B$34:$C$34</c:f>
              <c:numCache>
                <c:formatCode>#,##0.00</c:formatCode>
                <c:ptCount val="2"/>
                <c:pt idx="0">
                  <c:v>1601.08</c:v>
                </c:pt>
                <c:pt idx="1" c:formatCode="General">
                  <c:v>811.97</c:v>
                </c:pt>
              </c:numCache>
            </c:numRef>
          </c:val>
        </c:ser>
        <c:dLbls>
          <c:showLegendKey val="false"/>
          <c:showVal val="false"/>
          <c:showCatName val="false"/>
          <c:showSerName val="false"/>
          <c:showPercent val="false"/>
          <c:showBubbleSize val="false"/>
          <c:showLeaderLines val="true"/>
        </c:dLbls>
        <c:firstSliceAng val="97"/>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sz="1400" b="1" i="0" u="none" strike="noStrike" baseline="0">
                <a:solidFill>
                  <a:srgbClr val="333333"/>
                </a:solidFill>
                <a:latin typeface="宋体" charset="-122"/>
                <a:ea typeface="宋体" charset="-122"/>
                <a:cs typeface="宋体" charset="-122"/>
              </a:rPr>
              <a:t>图</a:t>
            </a:r>
            <a:r>
              <a:rPr lang="en-US" altLang="zh-CN" sz="1400" b="1"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4</a:t>
            </a:r>
            <a:r>
              <a:rPr altLang="en-US" sz="1400" b="1" i="0" u="none" strike="noStrike" baseline="0">
                <a:solidFill>
                  <a:srgbClr val="333333"/>
                </a:solidFill>
                <a:latin typeface="宋体" charset="-122"/>
                <a:ea typeface="宋体" charset="-122"/>
                <a:cs typeface="宋体" charset="-122"/>
              </a:rPr>
              <a:t>：财政拨款收、支决算总计变动情况</a:t>
            </a:r>
            <a:endParaRPr altLang="en-US" sz="1400" b="1" i="0" u="none" strike="noStrike" baseline="0">
              <a:solidFill>
                <a:srgbClr val="333333"/>
              </a:solidFill>
              <a:latin typeface="宋体" charset="-122"/>
              <a:ea typeface="宋体" charset="-122"/>
              <a:cs typeface="宋体" charset="-122"/>
            </a:endParaRPr>
          </a:p>
          <a:p>
            <a:pPr defTabSz="914400">
              <a:defRPr lang="zh-CN" sz="1400" b="0" i="0" u="none" strike="noStrike" kern="1200" spc="0" baseline="0">
                <a:solidFill>
                  <a:schemeClr val="tx1">
                    <a:lumMod val="65000"/>
                    <a:lumOff val="35000"/>
                  </a:schemeClr>
                </a:solidFill>
                <a:latin typeface="+mn-lt"/>
                <a:ea typeface="+mn-ea"/>
                <a:cs typeface="+mn-cs"/>
              </a:defRPr>
            </a:pPr>
            <a:r>
              <a:rPr altLang="en-US" sz="1400" b="1" i="0" u="none" strike="noStrike" baseline="0">
                <a:solidFill>
                  <a:srgbClr val="333333"/>
                </a:solidFill>
                <a:latin typeface="宋体" charset="-122"/>
                <a:ea typeface="宋体" charset="-122"/>
                <a:cs typeface="宋体" charset="-122"/>
              </a:rPr>
              <a:t>（单位：万元）</a:t>
            </a:r>
            <a:endParaRPr altLang="en-US" sz="1200" b="0" i="0" u="none" strike="noStrike" baseline="0">
              <a:solidFill>
                <a:srgbClr val="000000"/>
              </a:solidFill>
              <a:latin typeface="宋体" charset="-122"/>
              <a:ea typeface="宋体" charset="-122"/>
              <a:cs typeface="宋体" charset="-122"/>
            </a:endParaRP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Pt>
            <c:idx val="1"/>
            <c:invertIfNegative val="false"/>
            <c:bubble3D val="false"/>
            <c:explosion val="0"/>
            <c:spPr>
              <a:gradFill>
                <a:gsLst>
                  <a:gs pos="0">
                    <a:srgbClr val="FE4444"/>
                  </a:gs>
                  <a:gs pos="100000">
                    <a:srgbClr val="832B2B"/>
                  </a:gs>
                </a:gsLst>
                <a:lin ang="5400000" scaled="false"/>
              </a:gradFill>
              <a:ln>
                <a:noFill/>
              </a:ln>
              <a:effectLst/>
            </c:spPr>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'[新建 XLS 工作表.xls]1'!$B$39:$C$39</c:f>
              <c:strCache>
                <c:ptCount val="2"/>
                <c:pt idx="0">
                  <c:v>2024年度</c:v>
                </c:pt>
                <c:pt idx="1">
                  <c:v>2023年度</c:v>
                </c:pt>
              </c:strCache>
            </c:strRef>
          </c:cat>
          <c:val>
            <c:numRef>
              <c:f>'[新建 XLS 工作表.xls]1'!$B$40:$C$40</c:f>
              <c:numCache>
                <c:formatCode>#,##0.00</c:formatCode>
                <c:ptCount val="2"/>
                <c:pt idx="0">
                  <c:v>2245.06</c:v>
                </c:pt>
                <c:pt idx="1">
                  <c:v>2238.92</c:v>
                </c:pt>
              </c:numCache>
            </c:numRef>
          </c:val>
        </c:ser>
        <c:dLbls>
          <c:showLegendKey val="false"/>
          <c:showVal val="false"/>
          <c:showCatName val="false"/>
          <c:showSerName val="false"/>
          <c:showPercent val="false"/>
          <c:showBubbleSize val="false"/>
        </c:dLbls>
        <c:gapWidth val="219"/>
        <c:overlap val="-27"/>
        <c:axId val="12573736"/>
        <c:axId val="955247459"/>
      </c:barChart>
      <c:catAx>
        <c:axId val="12573736"/>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55247459"/>
        <c:crosses val="autoZero"/>
        <c:auto val="true"/>
        <c:lblAlgn val="ctr"/>
        <c:lblOffset val="100"/>
        <c:noMultiLvlLbl val="false"/>
      </c:catAx>
      <c:valAx>
        <c:axId val="955247459"/>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0.00"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2573736"/>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sz="1400" b="1" i="0" u="none" strike="noStrike" baseline="0">
                <a:solidFill>
                  <a:srgbClr val="333333"/>
                </a:solidFill>
                <a:latin typeface="宋体" charset="-122"/>
                <a:ea typeface="宋体" charset="-122"/>
                <a:cs typeface="宋体" charset="-122"/>
              </a:rPr>
              <a:t>图</a:t>
            </a:r>
            <a:r>
              <a:rPr lang="en-US" altLang="zh-CN" sz="1400" b="1"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5:</a:t>
            </a:r>
            <a:r>
              <a:rPr altLang="en-US" sz="1400" b="1" i="0" u="none" strike="noStrike" baseline="0">
                <a:solidFill>
                  <a:srgbClr val="333333"/>
                </a:solidFill>
                <a:latin typeface="宋体" charset="-122"/>
                <a:ea typeface="宋体" charset="-122"/>
                <a:cs typeface="宋体" charset="-122"/>
              </a:rPr>
              <a:t>一般公共预算财政拨款支出决算变动情况</a:t>
            </a:r>
            <a:endParaRPr altLang="en-US" sz="1400" b="1" i="0" u="none" strike="noStrike" baseline="0">
              <a:solidFill>
                <a:srgbClr val="333333"/>
              </a:solidFill>
              <a:latin typeface="宋体" charset="-122"/>
              <a:ea typeface="宋体" charset="-122"/>
              <a:cs typeface="宋体" charset="-122"/>
            </a:endParaRPr>
          </a:p>
          <a:p>
            <a:pPr defTabSz="914400">
              <a:defRPr lang="zh-CN" sz="1400" b="0" i="0" u="none" strike="noStrike" kern="1200" spc="0" baseline="0">
                <a:solidFill>
                  <a:schemeClr val="tx1">
                    <a:lumMod val="65000"/>
                    <a:lumOff val="35000"/>
                  </a:schemeClr>
                </a:solidFill>
                <a:latin typeface="+mn-lt"/>
                <a:ea typeface="+mn-ea"/>
                <a:cs typeface="+mn-cs"/>
              </a:defRPr>
            </a:pPr>
            <a:r>
              <a:rPr altLang="en-US" sz="1400" b="1" i="0" u="none" strike="noStrike" baseline="0">
                <a:solidFill>
                  <a:srgbClr val="333333"/>
                </a:solidFill>
                <a:latin typeface="宋体" charset="-122"/>
                <a:ea typeface="宋体" charset="-122"/>
                <a:cs typeface="宋体" charset="-122"/>
              </a:rPr>
              <a:t>（单位：万元）</a:t>
            </a:r>
            <a:endParaRPr altLang="en-US" sz="1200" b="0" i="0" u="none" strike="noStrike" baseline="0">
              <a:solidFill>
                <a:srgbClr val="000000"/>
              </a:solidFill>
              <a:latin typeface="宋体" charset="-122"/>
              <a:ea typeface="宋体" charset="-122"/>
              <a:cs typeface="宋体" charset="-122"/>
            </a:endParaRP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Pt>
            <c:idx val="1"/>
            <c:invertIfNegative val="false"/>
            <c:bubble3D val="false"/>
            <c:explosion val="0"/>
            <c:spPr>
              <a:gradFill>
                <a:gsLst>
                  <a:gs pos="0">
                    <a:srgbClr val="FE4444"/>
                  </a:gs>
                  <a:gs pos="100000">
                    <a:srgbClr val="832B2B"/>
                  </a:gs>
                </a:gsLst>
                <a:lin ang="5400000" scaled="false"/>
              </a:gradFill>
              <a:ln>
                <a:noFill/>
              </a:ln>
              <a:effectLst/>
            </c:spPr>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'[新建 XLS 工作表.xls]1'!$B$47:$C$47</c:f>
              <c:strCache>
                <c:ptCount val="2"/>
                <c:pt idx="0">
                  <c:v>2024年度</c:v>
                </c:pt>
                <c:pt idx="1">
                  <c:v>2023年度</c:v>
                </c:pt>
              </c:strCache>
            </c:strRef>
          </c:cat>
          <c:val>
            <c:numRef>
              <c:f>'[新建 XLS 工作表.xls]1'!$B$48:$C$48</c:f>
              <c:numCache>
                <c:formatCode>#,##0.00</c:formatCode>
                <c:ptCount val="2"/>
                <c:pt idx="0">
                  <c:v>2413.05</c:v>
                </c:pt>
                <c:pt idx="1">
                  <c:v>2312.18</c:v>
                </c:pt>
              </c:numCache>
            </c:numRef>
          </c:val>
        </c:ser>
        <c:dLbls>
          <c:showLegendKey val="false"/>
          <c:showVal val="false"/>
          <c:showCatName val="false"/>
          <c:showSerName val="false"/>
          <c:showPercent val="false"/>
          <c:showBubbleSize val="false"/>
        </c:dLbls>
        <c:gapWidth val="219"/>
        <c:overlap val="-27"/>
        <c:axId val="42352479"/>
        <c:axId val="562017611"/>
      </c:barChart>
      <c:catAx>
        <c:axId val="42352479"/>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62017611"/>
        <c:crosses val="autoZero"/>
        <c:auto val="true"/>
        <c:lblAlgn val="ctr"/>
        <c:lblOffset val="100"/>
        <c:noMultiLvlLbl val="false"/>
      </c:catAx>
      <c:valAx>
        <c:axId val="562017611"/>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0.00"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2352479"/>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t>图6：一般公共预算财政拨款支出决算结构</a:t>
            </a:r>
          </a:p>
          <a:p>
            <a:pPr defTabSz="914400">
              <a:defRPr lang="zh-CN" sz="1400" b="1" i="0" u="none" strike="noStrike" kern="1200" baseline="0">
                <a:solidFill>
                  <a:schemeClr val="tx1">
                    <a:lumMod val="75000"/>
                    <a:lumOff val="25000"/>
                  </a:schemeClr>
                </a:solidFill>
                <a:latin typeface="+mn-lt"/>
                <a:ea typeface="+mn-ea"/>
                <a:cs typeface="+mn-cs"/>
              </a:defRPr>
            </a:pPr>
          </a:p>
        </c:rich>
      </c:tx>
      <c:layout>
        <c:manualLayout>
          <c:xMode val="edge"/>
          <c:yMode val="edge"/>
          <c:x val="0.119736842105263"/>
          <c:y val="0.0208333333333333"/>
        </c:manualLayout>
      </c:layout>
      <c:overlay val="false"/>
      <c:spPr>
        <a:noFill/>
        <a:ln>
          <a:noFill/>
        </a:ln>
        <a:effectLst/>
      </c:spPr>
    </c:title>
    <c:autoTitleDeleted val="false"/>
    <c:plotArea>
      <c:layout/>
      <c:pieChart>
        <c:varyColors val="true"/>
        <c:ser>
          <c:idx val="0"/>
          <c:order val="0"/>
          <c:spPr>
            <a:scene3d>
              <a:camera prst="orthographicFront"/>
              <a:lightRig rig="threePt" dir="t"/>
            </a:scene3d>
            <a:sp3d contourW="9525"/>
          </c:spPr>
          <c:explosion val="0"/>
          <c:dPt>
            <c:idx val="0"/>
            <c:bubble3D val="false"/>
            <c:spPr>
              <a:solidFill>
                <a:schemeClr val="accent1"/>
              </a:solidFill>
              <a:ln w="19050">
                <a:solidFill>
                  <a:schemeClr val="bg1"/>
                </a:solidFill>
              </a:ln>
              <a:effectLst/>
              <a:scene3d>
                <a:camera prst="orthographicFront"/>
                <a:lightRig rig="threePt" dir="t"/>
              </a:scene3d>
              <a:sp3d contourW="9525"/>
            </c:spPr>
          </c:dPt>
          <c:dPt>
            <c:idx val="1"/>
            <c:bubble3D val="false"/>
            <c:spPr>
              <a:solidFill>
                <a:schemeClr val="accent2"/>
              </a:solidFill>
              <a:ln w="19050">
                <a:solidFill>
                  <a:schemeClr val="bg1"/>
                </a:solidFill>
              </a:ln>
              <a:effectLst/>
              <a:scene3d>
                <a:camera prst="orthographicFront"/>
                <a:lightRig rig="threePt" dir="t"/>
              </a:scene3d>
              <a:sp3d contourW="9525"/>
            </c:spPr>
          </c:dPt>
          <c:dPt>
            <c:idx val="2"/>
            <c:bubble3D val="false"/>
            <c:spPr>
              <a:solidFill>
                <a:schemeClr val="accent3"/>
              </a:solidFill>
              <a:ln w="19050">
                <a:solidFill>
                  <a:schemeClr val="bg1"/>
                </a:solidFill>
              </a:ln>
              <a:effectLst/>
              <a:scene3d>
                <a:camera prst="orthographicFront"/>
                <a:lightRig rig="threePt" dir="t"/>
              </a:scene3d>
              <a:sp3d contourW="9525"/>
            </c:spPr>
          </c:dPt>
          <c:dPt>
            <c:idx val="3"/>
            <c:bubble3D val="false"/>
            <c:spPr>
              <a:solidFill>
                <a:schemeClr val="accent4"/>
              </a:solidFill>
              <a:ln w="19050">
                <a:solidFill>
                  <a:schemeClr val="bg1"/>
                </a:solidFill>
              </a:ln>
              <a:effectLst/>
              <a:scene3d>
                <a:camera prst="orthographicFront"/>
                <a:lightRig rig="threePt" dir="t"/>
              </a:scene3d>
              <a:sp3d contourW="9525"/>
            </c:spPr>
          </c:dPt>
          <c:dPt>
            <c:idx val="4"/>
            <c:bubble3D val="false"/>
            <c:spPr>
              <a:solidFill>
                <a:schemeClr val="accent5"/>
              </a:solidFill>
              <a:ln w="19050">
                <a:solidFill>
                  <a:schemeClr val="bg1"/>
                </a:solidFill>
              </a:ln>
              <a:effectLst/>
              <a:scene3d>
                <a:camera prst="orthographicFront"/>
                <a:lightRig rig="threePt" dir="t"/>
              </a:scene3d>
              <a:sp3d contourW="9525"/>
            </c:spPr>
          </c:dPt>
          <c:dPt>
            <c:idx val="5"/>
            <c:bubble3D val="false"/>
            <c:spPr>
              <a:solidFill>
                <a:schemeClr val="accent6"/>
              </a:solidFill>
              <a:ln w="19050">
                <a:solidFill>
                  <a:schemeClr val="bg1"/>
                </a:solidFill>
              </a:ln>
              <a:effectLst/>
              <a:scene3d>
                <a:camera prst="orthographicFront"/>
                <a:lightRig rig="threePt" dir="t"/>
              </a:scene3d>
              <a:sp3d contourW="9525"/>
            </c:spPr>
          </c:dPt>
          <c:dPt>
            <c:idx val="6"/>
            <c:bubble3D val="false"/>
            <c:spPr>
              <a:solidFill>
                <a:schemeClr val="accent1">
                  <a:lumMod val="60000"/>
                </a:schemeClr>
              </a:solidFill>
              <a:ln w="19050">
                <a:solidFill>
                  <a:schemeClr val="bg1"/>
                </a:solidFill>
              </a:ln>
              <a:effectLst/>
              <a:scene3d>
                <a:camera prst="orthographicFront"/>
                <a:lightRig rig="threePt" dir="t"/>
              </a:scene3d>
              <a:sp3d contourW="9525"/>
            </c:spPr>
          </c:dPt>
          <c:dPt>
            <c:idx val="7"/>
            <c:bubble3D val="false"/>
            <c:spPr>
              <a:solidFill>
                <a:schemeClr val="accent2">
                  <a:lumMod val="60000"/>
                </a:schemeClr>
              </a:solidFill>
              <a:ln w="19050">
                <a:solidFill>
                  <a:schemeClr val="bg1"/>
                </a:solidFill>
              </a:ln>
              <a:effectLst/>
              <a:scene3d>
                <a:camera prst="orthographicFront"/>
                <a:lightRig rig="threePt" dir="t"/>
              </a:scene3d>
              <a:sp3d contourW="9525"/>
            </c:spPr>
          </c:dPt>
          <c:dPt>
            <c:idx val="8"/>
            <c:bubble3D val="false"/>
            <c:spPr>
              <a:solidFill>
                <a:schemeClr val="accent3">
                  <a:lumMod val="60000"/>
                </a:schemeClr>
              </a:solidFill>
              <a:ln w="19050">
                <a:solidFill>
                  <a:schemeClr val="bg1"/>
                </a:solidFill>
              </a:ln>
              <a:effectLst/>
              <a:scene3d>
                <a:camera prst="orthographicFront"/>
                <a:lightRig rig="threePt" dir="t"/>
              </a:scene3d>
              <a:sp3d contourW="9525"/>
            </c:spPr>
          </c:dPt>
          <c:dPt>
            <c:idx val="9"/>
            <c:bubble3D val="false"/>
            <c:spPr>
              <a:solidFill>
                <a:schemeClr val="accent4">
                  <a:lumMod val="60000"/>
                </a:schemeClr>
              </a:solidFill>
              <a:ln w="19050">
                <a:solidFill>
                  <a:schemeClr val="bg1"/>
                </a:solidFill>
              </a:ln>
              <a:effectLst/>
              <a:scene3d>
                <a:camera prst="orthographicFront"/>
                <a:lightRig rig="threePt" dir="t"/>
              </a:scene3d>
              <a:sp3d contourW="9525"/>
            </c:spPr>
          </c:dPt>
          <c:dPt>
            <c:idx val="10"/>
            <c:bubble3D val="false"/>
            <c:spPr>
              <a:solidFill>
                <a:schemeClr val="accent5">
                  <a:lumMod val="60000"/>
                </a:schemeClr>
              </a:solidFill>
              <a:ln w="19050">
                <a:solidFill>
                  <a:schemeClr val="bg1"/>
                </a:solidFill>
              </a:ln>
              <a:effectLst/>
              <a:scene3d>
                <a:camera prst="orthographicFront"/>
                <a:lightRig rig="threePt" dir="t"/>
              </a:scene3d>
              <a:sp3d contourW="9525"/>
            </c:spPr>
          </c:dPt>
          <c:dLbls>
            <c:dLbl>
              <c:idx val="0"/>
              <c:layout>
                <c:manualLayout>
                  <c:x val="0.110106382978723"/>
                  <c:y val="0.0136986301369863"/>
                </c:manualLayout>
              </c:layout>
              <c:dLblPos val="bestFit"/>
              <c:showLegendKey val="false"/>
              <c:showVal val="true"/>
              <c:showCatName val="true"/>
              <c:showSerName val="false"/>
              <c:showPercent val="false"/>
              <c:showBubbleSize val="false"/>
              <c:extLst>
                <c:ext xmlns:c15="http://schemas.microsoft.com/office/drawing/2012/chart" uri="{CE6537A1-D6FC-4f65-9D91-7224C49458BB}">
                  <c15:layout/>
                </c:ext>
              </c:extLst>
            </c:dLbl>
            <c:dLbl>
              <c:idx val="1"/>
              <c:layout>
                <c:manualLayout>
                  <c:x val="0.118753027644053"/>
                  <c:y val="0.0856164383561644"/>
                </c:manualLayout>
              </c:layout>
              <c:dLblPos val="bestFit"/>
              <c:showLegendKey val="false"/>
              <c:showVal val="true"/>
              <c:showCatName val="true"/>
              <c:showSerName val="false"/>
              <c:showPercent val="false"/>
              <c:showBubbleSize val="false"/>
              <c:extLst>
                <c:ext xmlns:c15="http://schemas.microsoft.com/office/drawing/2012/chart" uri="{CE6537A1-D6FC-4f65-9D91-7224C49458BB}">
                  <c15:layout/>
                </c:ext>
              </c:extLst>
            </c:dLbl>
            <c:dLbl>
              <c:idx val="2"/>
              <c:layout>
                <c:manualLayout>
                  <c:x val="0.148404255319149"/>
                  <c:y val="-0.0273972602739726"/>
                </c:manualLayout>
              </c:layout>
              <c:dLblPos val="bestFit"/>
              <c:showLegendKey val="false"/>
              <c:showVal val="true"/>
              <c:showCatName val="true"/>
              <c:showSerName val="false"/>
              <c:showPercent val="false"/>
              <c:showBubbleSize val="false"/>
              <c:extLst>
                <c:ext xmlns:c15="http://schemas.microsoft.com/office/drawing/2012/chart" uri="{CE6537A1-D6FC-4f65-9D91-7224C49458BB}">
                  <c15:layout/>
                </c:ext>
              </c:extLst>
            </c:dLbl>
            <c:dLbl>
              <c:idx val="3"/>
              <c:layout>
                <c:manualLayout>
                  <c:x val="0.183972564389698"/>
                  <c:y val="-0.00718226788432266"/>
                </c:manualLayout>
              </c:layout>
              <c:dLblPos val="bestFit"/>
              <c:showLegendKey val="false"/>
              <c:showVal val="true"/>
              <c:showCatName val="true"/>
              <c:showSerName val="false"/>
              <c:showPercent val="false"/>
              <c:showBubbleSize val="false"/>
              <c:extLst>
                <c:ext xmlns:c15="http://schemas.microsoft.com/office/drawing/2012/chart" uri="{CE6537A1-D6FC-4f65-9D91-7224C49458BB}">
                  <c15:layout/>
                </c:ext>
              </c:extLst>
            </c:dLbl>
            <c:dLbl>
              <c:idx val="4"/>
              <c:layout>
                <c:manualLayout>
                  <c:x val="0.23192889137738"/>
                  <c:y val="0.0450913242009132"/>
                </c:manualLayout>
              </c:layout>
              <c:dLblPos val="bestFit"/>
              <c:showLegendKey val="false"/>
              <c:showVal val="true"/>
              <c:showCatName val="true"/>
              <c:showSerName val="false"/>
              <c:showPercent val="false"/>
              <c:showBubbleSize val="false"/>
              <c:extLst>
                <c:ext xmlns:c15="http://schemas.microsoft.com/office/drawing/2012/chart" uri="{CE6537A1-D6FC-4f65-9D91-7224C49458BB}">
                  <c15:layout/>
                </c:ext>
              </c:extLst>
            </c:dLbl>
            <c:dLbl>
              <c:idx val="5"/>
              <c:layout>
                <c:manualLayout>
                  <c:x val="-0.00264557670772677"/>
                  <c:y val="0.0817210127231169"/>
                </c:manualLayout>
              </c:layout>
              <c:dLblPos val="bestFit"/>
              <c:showLegendKey val="false"/>
              <c:showVal val="true"/>
              <c:showCatName val="true"/>
              <c:showSerName val="false"/>
              <c:showPercent val="false"/>
              <c:showBubbleSize val="false"/>
              <c:extLst>
                <c:ext xmlns:c15="http://schemas.microsoft.com/office/drawing/2012/chart" uri="{CE6537A1-D6FC-4f65-9D91-7224C49458BB}">
                  <c15:layout/>
                </c:ext>
              </c:extLst>
            </c:dLbl>
            <c:dLbl>
              <c:idx val="7"/>
              <c:layout>
                <c:manualLayout>
                  <c:x val="-0.0670212765957447"/>
                  <c:y val="-0.11986301369863"/>
                </c:manualLayout>
              </c:layout>
              <c:dLblPos val="bestFit"/>
              <c:showLegendKey val="false"/>
              <c:showVal val="true"/>
              <c:showCatName val="true"/>
              <c:showSerName val="false"/>
              <c:showPercent val="false"/>
              <c:showBubbleSize val="false"/>
              <c:extLst>
                <c:ext xmlns:c15="http://schemas.microsoft.com/office/drawing/2012/chart" uri="{CE6537A1-D6FC-4f65-9D91-7224C49458BB}">
                  <c15:layout/>
                </c:ext>
              </c:extLst>
            </c:dLbl>
            <c:dLbl>
              <c:idx val="8"/>
              <c:layout>
                <c:manualLayout>
                  <c:x val="0.202659574468085"/>
                  <c:y val="-0.232876712328767"/>
                </c:manualLayout>
              </c:layout>
              <c:dLblPos val="bestFit"/>
              <c:showLegendKey val="false"/>
              <c:showVal val="true"/>
              <c:showCatName val="true"/>
              <c:showSerName val="false"/>
              <c:showPercent val="false"/>
              <c:showBubbleSize val="false"/>
              <c:extLst>
                <c:ext xmlns:c15="http://schemas.microsoft.com/office/drawing/2012/chart" uri="{CE6537A1-D6FC-4f65-9D91-7224C49458BB}">
                  <c15:layout/>
                </c:ext>
              </c:extLst>
            </c:dLbl>
            <c:dLbl>
              <c:idx val="9"/>
              <c:layout>
                <c:manualLayout>
                  <c:x val="0.173653223292827"/>
                  <c:y val="-0.160958904109589"/>
                </c:manualLayout>
              </c:layout>
              <c:dLblPos val="bestFit"/>
              <c:showLegendKey val="false"/>
              <c:showVal val="true"/>
              <c:showCatName val="true"/>
              <c:showSerName val="false"/>
              <c:showPercent val="false"/>
              <c:showBubbleSize val="false"/>
              <c:extLst>
                <c:ext xmlns:c15="http://schemas.microsoft.com/office/drawing/2012/chart" uri="{CE6537A1-D6FC-4f65-9D91-7224C49458BB}">
                  <c15:layout/>
                </c:ext>
              </c:extLst>
            </c:dLbl>
            <c:dLbl>
              <c:idx val="10"/>
              <c:layout>
                <c:manualLayout>
                  <c:x val="0.215425531914894"/>
                  <c:y val="-0.0821917808219178"/>
                </c:manualLayout>
              </c:layout>
              <c:dLblPos val="bestFit"/>
              <c:showLegendKey val="false"/>
              <c:showVal val="true"/>
              <c:showCatName val="tru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tru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工作表.xls]1'!$A$60:$K$60</c:f>
              <c:strCache>
                <c:ptCount val="11"/>
                <c:pt idx="0">
                  <c:v>交通运输支出</c:v>
                </c:pt>
                <c:pt idx="1">
                  <c:v>社会保障和就业支出</c:v>
                </c:pt>
                <c:pt idx="2">
                  <c:v>卫生健康支出</c:v>
                </c:pt>
                <c:pt idx="3">
                  <c:v>住房保障支出</c:v>
                </c:pt>
                <c:pt idx="4">
                  <c:v>城乡社区支出</c:v>
                </c:pt>
                <c:pt idx="5">
                  <c:v>国防支出</c:v>
                </c:pt>
                <c:pt idx="6">
                  <c:v>一般公共服务支出</c:v>
                </c:pt>
                <c:pt idx="7">
                  <c:v>粮油物资储备支出</c:v>
                </c:pt>
                <c:pt idx="8">
                  <c:v>文化旅游体育与传媒支出</c:v>
                </c:pt>
                <c:pt idx="9">
                  <c:v>农林水支出</c:v>
                </c:pt>
                <c:pt idx="10">
                  <c:v>灾害防治及应急管理支出</c:v>
                </c:pt>
              </c:strCache>
            </c:strRef>
          </c:cat>
          <c:val>
            <c:numRef>
              <c:f>'[新建 XLS 工作表.xls]1'!$A$61:$K$61</c:f>
              <c:numCache>
                <c:formatCode>General</c:formatCode>
                <c:ptCount val="11"/>
                <c:pt idx="0">
                  <c:v>24</c:v>
                </c:pt>
                <c:pt idx="1" c:formatCode="#,##0.00">
                  <c:v>192.63</c:v>
                </c:pt>
                <c:pt idx="2" c:formatCode="#,##0.00">
                  <c:v>113.5</c:v>
                </c:pt>
                <c:pt idx="3" c:formatCode="#,##0.00">
                  <c:v>193.14</c:v>
                </c:pt>
                <c:pt idx="4">
                  <c:v>57.59</c:v>
                </c:pt>
                <c:pt idx="5" c:formatCode="#,##0.00">
                  <c:v>2</c:v>
                </c:pt>
                <c:pt idx="6" c:formatCode="#,##0.00">
                  <c:v>1663.58</c:v>
                </c:pt>
                <c:pt idx="7" c:formatCode="#,##0.00">
                  <c:v>1.2</c:v>
                </c:pt>
                <c:pt idx="8">
                  <c:v>20.6</c:v>
                </c:pt>
                <c:pt idx="9">
                  <c:v>134.82</c:v>
                </c:pt>
                <c:pt idx="10">
                  <c:v>9.99</c:v>
                </c:pt>
              </c:numCache>
            </c:numRef>
          </c:val>
        </c:ser>
        <c:dLbls>
          <c:showLegendKey val="false"/>
          <c:showVal val="true"/>
          <c:showCatName val="false"/>
          <c:showSerName val="false"/>
          <c:showPercent val="false"/>
          <c:showBubbleSize val="false"/>
          <c:showLeaderLines val="true"/>
        </c:dLbls>
        <c:firstSliceAng val="58"/>
      </c:pieChart>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图7：“三公”经费财政拨款支出结构</a:t>
            </a:r>
            <a:endParaRPr sz="1400" b="1" i="0" u="none" strike="noStrike" baseline="0">
              <a:solidFill>
                <a:srgbClr val="404040">
                  <a:alpha val="100000"/>
                </a:srgbClr>
              </a:solidFill>
              <a:latin typeface="宋体" charset="-122"/>
              <a:ea typeface="宋体" charset="-122"/>
              <a:cs typeface="宋体" charset="-122"/>
            </a:endParaRPr>
          </a:p>
        </c:rich>
      </c:tx>
      <c:layout/>
      <c:overlay val="false"/>
      <c:spPr>
        <a:noFill/>
        <a:ln>
          <a:noFill/>
        </a:ln>
        <a:effectLst/>
      </c:spPr>
    </c:title>
    <c:autoTitleDeleted val="false"/>
    <c:plotArea>
      <c:layout/>
      <c:pieChart>
        <c:varyColors val="true"/>
        <c:ser>
          <c:idx val="0"/>
          <c:order val="0"/>
          <c:explosion val="0"/>
          <c:dPt>
            <c:idx val="0"/>
            <c:bubble3D val="false"/>
            <c:explosion val="0"/>
            <c:spPr>
              <a:solidFill>
                <a:schemeClr val="accent1"/>
              </a:solidFill>
              <a:ln>
                <a:solidFill>
                  <a:schemeClr val="bg1"/>
                </a:solidFill>
              </a:ln>
              <a:effectLst/>
            </c:spPr>
          </c:dPt>
          <c:dPt>
            <c:idx val="1"/>
            <c:bubble3D val="false"/>
            <c:explosion val="0"/>
            <c:spPr>
              <a:solidFill>
                <a:schemeClr val="accent2"/>
              </a:solidFill>
              <a:ln>
                <a:solidFill>
                  <a:schemeClr val="bg1"/>
                </a:solidFill>
              </a:ln>
              <a:effectLst/>
            </c:spPr>
          </c:dPt>
          <c:dPt>
            <c:idx val="2"/>
            <c:bubble3D val="false"/>
            <c:explosion val="0"/>
            <c:spPr>
              <a:solidFill>
                <a:schemeClr val="accent3"/>
              </a:solidFill>
              <a:ln>
                <a:solidFill>
                  <a:schemeClr val="bg1"/>
                </a:solidFill>
              </a:ln>
              <a:effectLst/>
            </c:spPr>
          </c:dPt>
          <c:dPt>
            <c:idx val="3"/>
            <c:bubble3D val="false"/>
            <c:explosion val="0"/>
            <c:spPr>
              <a:solidFill>
                <a:schemeClr val="accent4"/>
              </a:solidFill>
              <a:ln>
                <a:solidFill>
                  <a:schemeClr val="bg1"/>
                </a:solidFill>
              </a:ln>
              <a:effectLst/>
            </c:spPr>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tru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rgbClr val="969696">
                          <a:alpha val="100000"/>
                        </a:srgbClr>
                      </a:solidFill>
                      <a:prstDash val="solid"/>
                      <a:round/>
                    </a:ln>
                  </c:spPr>
                </c15:leaderLines>
              </c:ext>
            </c:extLst>
          </c:dLbls>
          <c:cat>
            <c:strRef>
              <c:f>'[新建 XLS 工作表.xls]1'!$A$74:$D$74</c:f>
              <c:strCache>
                <c:ptCount val="4"/>
                <c:pt idx="0">
                  <c:v>因公出国（境）费</c:v>
                </c:pt>
                <c:pt idx="1">
                  <c:v>公务用车购置费</c:v>
                </c:pt>
                <c:pt idx="2">
                  <c:v>公务用车运行维护费</c:v>
                </c:pt>
                <c:pt idx="3">
                  <c:v>公务接待费</c:v>
                </c:pt>
              </c:strCache>
            </c:strRef>
          </c:cat>
          <c:val>
            <c:numRef>
              <c:f>'[新建 XLS 工作表.xls]1'!$A$75:$D$75</c:f>
              <c:numCache>
                <c:formatCode>General</c:formatCode>
                <c:ptCount val="4"/>
                <c:pt idx="2">
                  <c:v>16.75</c:v>
                </c:pt>
              </c:numCache>
            </c:numRef>
          </c:val>
        </c:ser>
        <c:dLbls>
          <c:showLegendKey val="false"/>
          <c:showVal val="false"/>
          <c:showCatName val="false"/>
          <c:showSerName val="false"/>
          <c:showPercent val="false"/>
          <c:showBubbleSize val="false"/>
          <c:showLeaderLines val="true"/>
        </c:dLbls>
        <c:firstSliceAng val="97"/>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12873</Words>
  <Characters>14348</Characters>
  <Lines>67</Lines>
  <Paragraphs>18</Paragraphs>
  <TotalTime>23</TotalTime>
  <ScaleCrop>false</ScaleCrop>
  <LinksUpToDate>false</LinksUpToDate>
  <CharactersWithSpaces>14523</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2024-07-24T19:26:00Z</dcterms:created>
  <dc:creator>uos</dc:creator>
  <cp:lastModifiedBy>user</cp:lastModifiedBy>
  <cp:lastPrinted>2023-08-03T16:58:00Z</cp:lastPrinted>
  <dcterms:modified xsi:type="dcterms:W3CDTF">2025-11-03T15:57:29Z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6FB85A8A90A14192917C0FF633D722D4_13</vt:lpwstr>
  </property>
  <property fmtid="{D5CDD505-2E9C-101B-9397-08002B2CF9AE}" pid="4" name="KSOTemplateDocerSaveRecord">
    <vt:lpwstr>eyJoZGlkIjoiMTJmODZkZTJiZGEzMGY4YzhiYzUxM2Y0ZGRkMjlhNjAiLCJ1c2VySWQiOiI1MDI5NDMyIn0=</vt:lpwstr>
  </property>
</Properties>
</file>