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Theme="majorEastAsia" w:hAnsiTheme="majorEastAsia" w:eastAsiaTheme="majorEastAsia" w:cstheme="majorEastAsia"/>
          <w:b/>
          <w:bCs/>
          <w:sz w:val="44"/>
          <w:szCs w:val="44"/>
        </w:rPr>
      </w:pPr>
      <w:bookmarkStart w:id="0" w:name="第七部分部门决算分析报告撰写提纲"/>
      <w:r>
        <w:rPr>
          <w:rFonts w:hint="eastAsia" w:asciiTheme="majorEastAsia" w:hAnsiTheme="majorEastAsia" w:eastAsiaTheme="majorEastAsia" w:cstheme="majorEastAsia"/>
          <w:b/>
          <w:bCs/>
          <w:sz w:val="44"/>
          <w:szCs w:val="44"/>
        </w:rPr>
        <w:t>墨脱县</w:t>
      </w:r>
      <w:r>
        <w:rPr>
          <w:rFonts w:hint="eastAsia" w:asciiTheme="majorEastAsia" w:hAnsiTheme="majorEastAsia" w:eastAsiaTheme="majorEastAsia" w:cstheme="majorEastAsia"/>
          <w:b/>
          <w:bCs/>
          <w:sz w:val="44"/>
          <w:szCs w:val="44"/>
          <w:lang w:eastAsia="zh-CN"/>
        </w:rPr>
        <w:t>司法局</w:t>
      </w:r>
      <w:r>
        <w:rPr>
          <w:rFonts w:hint="eastAsia" w:asciiTheme="majorEastAsia" w:hAnsiTheme="majorEastAsia" w:eastAsiaTheme="majorEastAsia" w:cstheme="majorEastAsia"/>
          <w:b/>
          <w:bCs/>
          <w:sz w:val="44"/>
          <w:szCs w:val="44"/>
        </w:rPr>
        <w:t>2024年度部门决算公开报告</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b/>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44"/>
          <w:szCs w:val="44"/>
        </w:rPr>
      </w:pPr>
      <w:bookmarkStart w:id="1" w:name="_Toc11440_WPSOffice_Type2"/>
      <w:r>
        <w:rPr>
          <w:rFonts w:hint="eastAsia" w:ascii="黑体" w:hAnsi="黑体" w:eastAsia="黑体" w:cs="黑体"/>
          <w:sz w:val="44"/>
          <w:szCs w:val="44"/>
        </w:rPr>
        <w:t>目  录</w:t>
      </w:r>
    </w:p>
    <w:p>
      <w:pPr>
        <w:pStyle w:val="2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pPr>
        <w:pStyle w:val="2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eastAsia="宋体"/>
          <w:sz w:val="32"/>
          <w:szCs w:val="32"/>
          <w:lang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4</w:t>
      </w:r>
    </w:p>
    <w:p>
      <w:pPr>
        <w:pStyle w:val="2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eastAsia="宋体"/>
          <w:sz w:val="32"/>
          <w:szCs w:val="32"/>
          <w:lang w:val="en-US" w:eastAsia="zh-CN"/>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5</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pStyle w:val="22"/>
        <w:keepNext w:val="0"/>
        <w:keepLines w:val="0"/>
        <w:pageBreakBefore w:val="0"/>
        <w:numPr>
          <w:ilvl w:val="0"/>
          <w:numId w:val="1"/>
        </w:numPr>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pStyle w:val="22"/>
        <w:keepNext w:val="0"/>
        <w:keepLines w:val="0"/>
        <w:pageBreakBefore w:val="0"/>
        <w:numPr>
          <w:ilvl w:val="0"/>
          <w:numId w:val="1"/>
        </w:numPr>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pPr>
        <w:pStyle w:val="22"/>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lang w:val="en-US"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21"/>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ˎ̥" w:eastAsia="宋体"/>
          <w:b/>
          <w:sz w:val="32"/>
          <w:szCs w:val="32"/>
          <w:lang w:val="en-US"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2" w:name="_Toc15425_WPSOffice_Level1Page"/>
      <w:r>
        <w:rPr>
          <w:sz w:val="32"/>
          <w:szCs w:val="32"/>
        </w:rPr>
        <w:t>1</w:t>
      </w:r>
      <w:bookmarkEnd w:id="2"/>
      <w:r>
        <w:rPr>
          <w:sz w:val="32"/>
          <w:szCs w:val="32"/>
        </w:rPr>
        <w:fldChar w:fldCharType="end"/>
      </w:r>
      <w:bookmarkEnd w:id="1"/>
      <w:r>
        <w:rPr>
          <w:rFonts w:hint="eastAsia"/>
          <w:sz w:val="32"/>
          <w:szCs w:val="32"/>
          <w:lang w:val="en-US" w:eastAsia="zh-CN"/>
        </w:rPr>
        <w:t>1</w:t>
      </w:r>
    </w:p>
    <w:p>
      <w:pPr>
        <w:rPr>
          <w:rFonts w:hint="eastAsia" w:ascii="仿宋_GB2312" w:hAnsi="仿宋" w:eastAsia="仿宋_GB2312"/>
          <w:sz w:val="32"/>
          <w:szCs w:val="32"/>
          <w:highlight w:val="none"/>
        </w:rPr>
      </w:pPr>
    </w:p>
    <w:p>
      <w:pPr>
        <w:pStyle w:val="2"/>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p>
    <w:p>
      <w:pPr>
        <w:pStyle w:val="5"/>
        <w:ind w:left="0" w:leftChars="0" w:firstLine="0" w:firstLineChars="0"/>
        <w:rPr>
          <w:rFonts w:hint="eastAsia"/>
        </w:rPr>
      </w:pPr>
    </w:p>
    <w:p>
      <w:pPr>
        <w:numPr>
          <w:ilvl w:val="0"/>
          <w:numId w:val="2"/>
        </w:numPr>
        <w:snapToGrid w:val="0"/>
        <w:spacing w:line="520" w:lineRule="exact"/>
        <w:ind w:firstLine="640" w:firstLineChars="200"/>
        <w:jc w:val="center"/>
        <w:rPr>
          <w:rFonts w:hint="eastAsia" w:ascii="黑体" w:hAnsi="ˎ̥" w:eastAsia="黑体"/>
          <w:sz w:val="32"/>
          <w:szCs w:val="32"/>
        </w:rPr>
      </w:pPr>
      <w:r>
        <w:rPr>
          <w:rFonts w:hint="eastAsia" w:ascii="黑体" w:hAnsi="ˎ̥" w:eastAsia="黑体"/>
          <w:sz w:val="32"/>
          <w:szCs w:val="32"/>
        </w:rPr>
        <w:t>基本情况</w:t>
      </w:r>
    </w:p>
    <w:p>
      <w:pPr>
        <w:pStyle w:val="2"/>
        <w:numPr>
          <w:ilvl w:val="0"/>
          <w:numId w:val="0"/>
        </w:numPr>
        <w:ind w:leftChars="40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一、部门（单位）职责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（1）贯彻执行国家、自治区和林芝市关于司法行政和法律援助工作的方针政策和法律法规；拟订县司法行政工作的发展规划和具体措施并组织实施。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（2）承担协调有关方面提出全面依法治县中长期发展规划建议，负责有关重大决策部署督察工作。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（3）承担统筹规范性文件拟定审查工作责任。协调有关方面提出规范性文件法律适用性的建议，加强组织协调和督促指导，研究提出具有法律适用性的意见、措施。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承担统筹推进法治政府建设的责任。指导、监督、各乡（镇）、各部门依法行政工作；负责综合协调行政执法，承担推进行政执法体制改革有关工作，推进严格规范公正文明执法；承办申请县政府裁决的行政复议案件工作；指导、监督全县行政复议和行政应诉工作，负责行政复议和应诉案件办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承担统筹规划全县法治社会建设的责任。负责拟订全县法治宣传教育规划并组织实施，督导检查全县普法宣传工作，推动人民参与和促进全县法治建设；指导依法治理和法治创建工作；指导人民调解工作和人民陪审员、人民监督员选任管理工作，指导安置帮教工作，推进司法所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负责拟订全县公共法律服务体系建设规划并指导实施，统筹和布局城乡、区域法律服务资源；指导和监督律师、法律援助、司法鉴定、公证、仲裁和基层等法律服务管理工作；承担全县公共法律服务方面相关资料的藏文翻译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（7）协助开展国家统一法律职业资格考试林芝片区的组织实施工作；配合做好国家统一法律职业资格审核、资格证书管理和法律职业人员入职前培训工作。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（8）指导、监督社区矫正工作法律、法规和政策的贯彻执行；拟订全县社区矫正工作规划并负责实施。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（9）负责全县司法行政系统警车、信息化建设等管理工作；指导、监督全县司法行政系统财务、装备、设施、场所、信息科技等保障工作。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（10）规划、协调、指导全县法治人才队伍建设相关工作，指导、监督全县司法行政系统干部队伍建设；负责司法局机关、下属单位警务管理和综合督察工作。</w:t>
      </w:r>
    </w:p>
    <w:p>
      <w:pPr>
        <w:spacing w:line="560" w:lineRule="exact"/>
        <w:ind w:firstLine="640" w:firstLineChars="200"/>
        <w:rPr>
          <w:rFonts w:hint="eastAsia"/>
        </w:rPr>
      </w:pPr>
      <w:r>
        <w:rPr>
          <w:rFonts w:hint="eastAsia" w:ascii="仿宋_GB2312" w:hAnsi="仿宋_GB2312" w:eastAsia="仿宋_GB2312" w:cs="仿宋_GB2312"/>
          <w:b w:val="0"/>
          <w:bCs w:val="0"/>
          <w:color w:val="auto"/>
          <w:sz w:val="32"/>
          <w:szCs w:val="32"/>
          <w:lang w:val="en-US" w:eastAsia="zh-CN"/>
        </w:rPr>
        <w:t>（11）完成县委、县政府交办的其他任务。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二、机构设置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设立墨脱县法律援助中心，归口县司法局管理，副科级事业单位。</w:t>
      </w:r>
    </w:p>
    <w:p>
      <w:pPr>
        <w:pStyle w:val="2"/>
        <w:rPr>
          <w:rFonts w:hint="eastAsia" w:ascii="仿宋_GB2312" w:hAnsi="仿宋_GB2312" w:eastAsia="仿宋_GB2312" w:cs="仿宋_GB2312"/>
          <w:sz w:val="32"/>
          <w:szCs w:val="32"/>
        </w:rPr>
      </w:pPr>
    </w:p>
    <w:p>
      <w:pPr>
        <w:pStyle w:val="5"/>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5"/>
        <w:rPr>
          <w:rFonts w:hint="eastAsia"/>
        </w:rPr>
      </w:pPr>
    </w:p>
    <w:p>
      <w:pPr>
        <w:pStyle w:val="5"/>
        <w:rPr>
          <w:rFonts w:hint="eastAsia" w:ascii="仿宋_GB2312" w:hAnsi="仿宋_GB2312" w:eastAsia="仿宋_GB2312" w:cs="仿宋_GB2312"/>
          <w:sz w:val="32"/>
          <w:szCs w:val="32"/>
        </w:rPr>
      </w:pPr>
    </w:p>
    <w:p>
      <w:pPr>
        <w:rPr>
          <w:rFonts w:hint="eastAsia"/>
        </w:rPr>
      </w:pPr>
    </w:p>
    <w:p>
      <w:pPr>
        <w:keepNext w:val="0"/>
        <w:keepLines w:val="0"/>
        <w:pageBreakBefore w:val="0"/>
        <w:numPr>
          <w:ilvl w:val="0"/>
          <w:numId w:val="3"/>
        </w:numPr>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年度部门决算公开报表</w:t>
      </w:r>
    </w:p>
    <w:p>
      <w:pPr>
        <w:pStyle w:val="2"/>
        <w:rPr>
          <w:rFonts w:hint="eastAsia"/>
        </w:rPr>
      </w:pP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一、收入支出决算公开表</w:t>
      </w: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bookmarkStart w:id="3" w:name="_Toc25608_WPSOffice_Level2"/>
      <w:bookmarkStart w:id="4" w:name="_Toc30334_WPSOffice_Level2"/>
      <w:bookmarkStart w:id="5" w:name="_Toc23139_WPSOffice_Level2"/>
      <w:bookmarkStart w:id="6" w:name="_Toc26621_WPSOffice_Level2"/>
      <w:bookmarkStart w:id="7" w:name="_Toc14349_WPSOffice_Level2"/>
      <w:bookmarkStart w:id="8" w:name="_Toc28622_WPSOffice_Level2"/>
      <w:r>
        <w:rPr>
          <w:rFonts w:hint="eastAsia" w:ascii="黑体" w:hAnsi="黑体" w:eastAsia="黑体" w:cs="黑体"/>
          <w:sz w:val="32"/>
          <w:szCs w:val="32"/>
        </w:rPr>
        <w:t>二、收入决算公开表</w:t>
      </w:r>
      <w:bookmarkEnd w:id="3"/>
      <w:bookmarkEnd w:id="4"/>
      <w:bookmarkEnd w:id="5"/>
      <w:bookmarkEnd w:id="6"/>
      <w:bookmarkEnd w:id="7"/>
      <w:bookmarkEnd w:id="8"/>
      <w:bookmarkStart w:id="9" w:name="_Toc3262_WPSOffice_Level2"/>
      <w:bookmarkStart w:id="10" w:name="_Toc17858_WPSOffice_Level2"/>
      <w:bookmarkStart w:id="11" w:name="_Toc14658_WPSOffice_Level2"/>
      <w:bookmarkStart w:id="12" w:name="_Toc5489_WPSOffice_Level2"/>
      <w:bookmarkStart w:id="13" w:name="_Toc17626_WPSOffice_Level2"/>
      <w:bookmarkStart w:id="14" w:name="_Toc13854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三、支出决算公开表</w:t>
      </w:r>
      <w:bookmarkEnd w:id="9"/>
      <w:bookmarkEnd w:id="10"/>
      <w:bookmarkEnd w:id="11"/>
      <w:bookmarkEnd w:id="12"/>
      <w:bookmarkEnd w:id="13"/>
      <w:bookmarkEnd w:id="14"/>
      <w:bookmarkStart w:id="15" w:name="_Toc7988_WPSOffice_Level2"/>
      <w:bookmarkStart w:id="16" w:name="_Toc23591_WPSOffice_Level2"/>
      <w:bookmarkStart w:id="17" w:name="_Toc4265_WPSOffice_Level2"/>
      <w:bookmarkStart w:id="18" w:name="_Toc23493_WPSOffice_Level2"/>
      <w:bookmarkStart w:id="19" w:name="_Toc21415_WPSOffice_Level2"/>
      <w:bookmarkStart w:id="20" w:name="_Toc13701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15"/>
      <w:bookmarkEnd w:id="16"/>
      <w:bookmarkEnd w:id="17"/>
      <w:bookmarkEnd w:id="18"/>
      <w:bookmarkEnd w:id="19"/>
      <w:bookmarkEnd w:id="20"/>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bookmarkStart w:id="21" w:name="_Toc22783_WPSOffice_Level2"/>
      <w:bookmarkStart w:id="22" w:name="_Toc25166_WPSOffice_Level2"/>
      <w:bookmarkStart w:id="23" w:name="_Toc23829_WPSOffice_Level2"/>
      <w:bookmarkStart w:id="24" w:name="_Toc7879_WPSOffice_Level2"/>
      <w:bookmarkStart w:id="25" w:name="_Toc2158_WPSOffice_Level2"/>
      <w:bookmarkStart w:id="26" w:name="_Toc13516_WPSOffice_Level2"/>
      <w:r>
        <w:rPr>
          <w:rFonts w:hint="eastAsia" w:ascii="黑体" w:hAnsi="黑体" w:eastAsia="黑体" w:cs="黑体"/>
          <w:sz w:val="32"/>
          <w:szCs w:val="32"/>
        </w:rPr>
        <w:t>五、一般公共预算财政拨款收入支出决算</w:t>
      </w:r>
      <w:bookmarkEnd w:id="21"/>
      <w:bookmarkEnd w:id="22"/>
      <w:bookmarkEnd w:id="23"/>
      <w:bookmarkEnd w:id="24"/>
      <w:r>
        <w:rPr>
          <w:rFonts w:hint="eastAsia" w:ascii="黑体" w:hAnsi="黑体" w:eastAsia="黑体" w:cs="黑体"/>
          <w:sz w:val="32"/>
          <w:szCs w:val="32"/>
        </w:rPr>
        <w:t>公开表</w:t>
      </w:r>
      <w:bookmarkEnd w:id="25"/>
      <w:bookmarkEnd w:id="26"/>
      <w:bookmarkStart w:id="27" w:name="_Toc5343_WPSOffice_Level2"/>
      <w:bookmarkStart w:id="28" w:name="_Toc2632_WPSOffice_Level2"/>
      <w:bookmarkStart w:id="29" w:name="_Toc8373_WPSOffice_Level2"/>
      <w:bookmarkStart w:id="30" w:name="_Toc17833_WPSOffice_Level2"/>
      <w:bookmarkStart w:id="31" w:name="_Toc17283_WPSOffice_Level2"/>
      <w:bookmarkStart w:id="32" w:name="_Toc25362_WPSOffice_Level2"/>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27"/>
      <w:bookmarkEnd w:id="28"/>
      <w:bookmarkEnd w:id="29"/>
      <w:bookmarkEnd w:id="30"/>
      <w:bookmarkEnd w:id="31"/>
      <w:bookmarkEnd w:id="32"/>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left="1118" w:leftChars="304" w:hanging="480" w:hangingChars="150"/>
        <w:textAlignment w:val="auto"/>
        <w:rPr>
          <w:rFonts w:hint="eastAsia" w:ascii="黑体" w:hAnsi="黑体" w:eastAsia="黑体" w:cs="黑体"/>
          <w:sz w:val="32"/>
          <w:szCs w:val="32"/>
        </w:rPr>
      </w:pPr>
      <w:bookmarkStart w:id="33" w:name="_Toc13345_WPSOffice_Level2"/>
      <w:bookmarkStart w:id="34" w:name="_Toc5594_WPSOffice_Level2"/>
      <w:bookmarkStart w:id="35" w:name="_Toc6020_WPSOffice_Level2"/>
      <w:bookmarkStart w:id="36" w:name="_Toc21310_WPSOffice_Level2"/>
      <w:bookmarkStart w:id="37" w:name="_Toc11799_WPSOffice_Level2"/>
      <w:bookmarkStart w:id="38" w:name="_Toc1533_WPSOffice_Level2"/>
      <w:r>
        <w:rPr>
          <w:rFonts w:hint="eastAsia" w:ascii="黑体" w:hAnsi="黑体" w:eastAsia="黑体" w:cs="黑体"/>
          <w:sz w:val="32"/>
          <w:szCs w:val="32"/>
        </w:rPr>
        <w:t>七、政府性基金预算财政拨款收入支出决算</w:t>
      </w:r>
      <w:bookmarkEnd w:id="33"/>
      <w:bookmarkEnd w:id="34"/>
      <w:bookmarkEnd w:id="35"/>
      <w:bookmarkEnd w:id="36"/>
      <w:bookmarkEnd w:id="37"/>
      <w:bookmarkEnd w:id="38"/>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left="1118" w:leftChars="304" w:hanging="480" w:hangingChars="150"/>
        <w:textAlignment w:val="auto"/>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rPr>
      </w:pPr>
      <w:bookmarkStart w:id="39" w:name="_Toc19961_WPSOffice_Level2"/>
      <w:bookmarkStart w:id="40" w:name="_Toc1820_WPSOffice_Level2"/>
      <w:bookmarkStart w:id="41" w:name="_Toc29886_WPSOffice_Level2"/>
      <w:bookmarkStart w:id="42" w:name="_Toc9377_WPSOffice_Level2"/>
      <w:r>
        <w:rPr>
          <w:rFonts w:hint="eastAsia" w:ascii="黑体" w:hAnsi="黑体" w:eastAsia="黑体" w:cs="黑体"/>
          <w:sz w:val="32"/>
          <w:szCs w:val="32"/>
        </w:rPr>
        <w:t>九、财政拨款“三公”经费支出决算</w:t>
      </w:r>
      <w:bookmarkEnd w:id="39"/>
      <w:bookmarkEnd w:id="40"/>
      <w:bookmarkEnd w:id="41"/>
      <w:bookmarkEnd w:id="42"/>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43" w:name="_Toc29683_WPSOffice_Level1"/>
      <w:bookmarkStart w:id="44" w:name="_Toc31264_WPSOffice_Level1"/>
      <w:bookmarkStart w:id="45" w:name="_Toc4402_WPSOffice_Level1"/>
      <w:bookmarkStart w:id="46" w:name="_Toc16686_WPSOffice_Level1"/>
      <w:bookmarkStart w:id="47" w:name="_Toc27590_WPSOffice_Level1"/>
      <w:bookmarkStart w:id="48" w:name="_Toc28629_WPSOffice_Level1"/>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ˎ̥" w:eastAsia="黑体"/>
          <w:sz w:val="32"/>
          <w:szCs w:val="32"/>
        </w:rPr>
      </w:pPr>
      <w:r>
        <w:rPr>
          <w:rFonts w:hint="eastAsia" w:ascii="黑体" w:hAnsi="ˎ̥" w:eastAsia="黑体"/>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43"/>
      <w:bookmarkEnd w:id="44"/>
      <w:bookmarkEnd w:id="45"/>
      <w:bookmarkEnd w:id="46"/>
      <w:bookmarkEnd w:id="47"/>
      <w:bookmarkEnd w:id="48"/>
    </w:p>
    <w:p>
      <w:pPr>
        <w:pStyle w:val="2"/>
        <w:numPr>
          <w:ilvl w:val="0"/>
          <w:numId w:val="0"/>
        </w:numPr>
        <w:ind w:leftChars="0"/>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一、收入支出总体情况说明</w:t>
      </w:r>
    </w:p>
    <w:p>
      <w:pPr>
        <w:snapToGrid w:val="0"/>
        <w:spacing w:line="520" w:lineRule="exact"/>
        <w:ind w:firstLine="640" w:firstLineChars="200"/>
        <w:outlineLvl w:val="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度收入805.04万元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支</w:t>
      </w:r>
      <w:r>
        <w:rPr>
          <w:rFonts w:hint="eastAsia" w:ascii="仿宋_GB2312" w:hAnsi="仿宋_GB2312" w:eastAsia="仿宋_GB2312" w:cs="仿宋_GB2312"/>
          <w:i w:val="0"/>
          <w:iCs w:val="0"/>
          <w:caps w:val="0"/>
          <w:color w:val="auto"/>
          <w:spacing w:val="0"/>
          <w:sz w:val="32"/>
          <w:szCs w:val="32"/>
          <w:shd w:val="clear" w:fill="FFFFFF"/>
          <w:lang w:val="en-US" w:eastAsia="zh-CN"/>
        </w:rPr>
        <w:t>出805.04万元，</w:t>
      </w:r>
      <w:r>
        <w:rPr>
          <w:rFonts w:hint="eastAsia" w:ascii="仿宋_GB2312" w:hAnsi="仿宋_GB2312" w:eastAsia="仿宋_GB2312" w:cs="仿宋_GB2312"/>
          <w:i w:val="0"/>
          <w:iCs w:val="0"/>
          <w:caps w:val="0"/>
          <w:color w:val="auto"/>
          <w:spacing w:val="0"/>
          <w:sz w:val="32"/>
          <w:szCs w:val="32"/>
          <w:shd w:val="clear" w:fill="FFFFFF"/>
        </w:rPr>
        <w:t>与</w:t>
      </w:r>
      <w:r>
        <w:rPr>
          <w:rFonts w:hint="eastAsia" w:ascii="仿宋_GB2312" w:hAnsi="仿宋_GB2312" w:eastAsia="仿宋_GB2312" w:cs="仿宋_GB2312"/>
          <w:i w:val="0"/>
          <w:iCs w:val="0"/>
          <w:caps w:val="0"/>
          <w:color w:val="auto"/>
          <w:spacing w:val="0"/>
          <w:sz w:val="32"/>
          <w:szCs w:val="32"/>
          <w:shd w:val="clear" w:fill="FFFFFF"/>
          <w:lang w:val="en-US" w:eastAsia="zh-CN"/>
        </w:rPr>
        <w:t>2023</w:t>
      </w:r>
      <w:r>
        <w:rPr>
          <w:rFonts w:hint="eastAsia" w:ascii="仿宋_GB2312" w:hAnsi="仿宋_GB2312" w:eastAsia="仿宋_GB2312" w:cs="仿宋_GB2312"/>
          <w:i w:val="0"/>
          <w:iCs w:val="0"/>
          <w:caps w:val="0"/>
          <w:color w:val="auto"/>
          <w:spacing w:val="0"/>
          <w:sz w:val="32"/>
          <w:szCs w:val="32"/>
          <w:shd w:val="clear" w:fill="FFFFFF"/>
        </w:rPr>
        <w:t>年相比，收</w:t>
      </w:r>
      <w:r>
        <w:rPr>
          <w:rFonts w:hint="eastAsia" w:ascii="仿宋_GB2312" w:hAnsi="仿宋_GB2312" w:eastAsia="仿宋_GB2312" w:cs="仿宋_GB2312"/>
          <w:i w:val="0"/>
          <w:iCs w:val="0"/>
          <w:caps w:val="0"/>
          <w:color w:val="auto"/>
          <w:spacing w:val="0"/>
          <w:sz w:val="32"/>
          <w:szCs w:val="32"/>
          <w:shd w:val="clear" w:fill="FFFFFF"/>
          <w:lang w:val="en-US" w:eastAsia="zh-CN"/>
        </w:rPr>
        <w:t>支总计分别增加55.78万元、55.78万元，增长7.4%、7.4%</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较上年增加的主要原因是专项经费增加。</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eastAsia" w:ascii="仿宋_GB2312" w:hAnsi="仿宋_GB2312" w:eastAsia="仿宋_GB2312" w:cs="仿宋_GB2312"/>
          <w:i w:val="0"/>
          <w:iCs w:val="0"/>
          <w:caps w:val="0"/>
          <w:color w:val="auto"/>
          <w:spacing w:val="0"/>
          <w:sz w:val="32"/>
          <w:szCs w:val="32"/>
          <w:shd w:val="clear" w:fill="FFFFFF"/>
          <w:lang w:val="en-US" w:eastAsia="zh-CN"/>
        </w:rPr>
        <w:t>805.04万元</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eastAsia" w:ascii="仿宋_GB2312" w:hAnsi="仿宋_GB2312" w:eastAsia="仿宋_GB2312" w:cs="仿宋_GB2312"/>
          <w:i w:val="0"/>
          <w:iCs w:val="0"/>
          <w:caps w:val="0"/>
          <w:color w:val="auto"/>
          <w:spacing w:val="0"/>
          <w:sz w:val="32"/>
          <w:szCs w:val="32"/>
          <w:shd w:val="clear" w:fill="FFFFFF"/>
          <w:lang w:val="en-US" w:eastAsia="zh-CN"/>
        </w:rPr>
        <w:t>805.04</w:t>
      </w:r>
      <w:r>
        <w:rPr>
          <w:rFonts w:hint="eastAsia" w:ascii="仿宋_GB2312" w:hAnsi="ˎ̥" w:eastAsia="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eastAsia" w:ascii="仿宋_GB2312" w:hAnsi="仿宋_GB2312" w:eastAsia="仿宋_GB2312" w:cs="仿宋_GB2312"/>
          <w:i w:val="0"/>
          <w:iCs w:val="0"/>
          <w:caps w:val="0"/>
          <w:color w:val="auto"/>
          <w:spacing w:val="0"/>
          <w:sz w:val="32"/>
          <w:szCs w:val="32"/>
          <w:shd w:val="clear" w:fill="FFFFFF"/>
          <w:lang w:val="en-US" w:eastAsia="zh-CN"/>
        </w:rPr>
        <w:t>805.04</w:t>
      </w:r>
      <w:r>
        <w:rPr>
          <w:rFonts w:hint="eastAsia" w:ascii="仿宋_GB2312" w:hAnsi="ˎ̥" w:eastAsia="仿宋_GB2312"/>
          <w:sz w:val="32"/>
          <w:szCs w:val="32"/>
        </w:rPr>
        <w:t>万元，其中：财政拨款收入</w:t>
      </w:r>
      <w:r>
        <w:rPr>
          <w:rFonts w:hint="eastAsia" w:ascii="仿宋_GB2312" w:hAnsi="仿宋_GB2312" w:eastAsia="仿宋_GB2312" w:cs="仿宋_GB2312"/>
          <w:i w:val="0"/>
          <w:iCs w:val="0"/>
          <w:caps w:val="0"/>
          <w:color w:val="auto"/>
          <w:spacing w:val="0"/>
          <w:sz w:val="32"/>
          <w:szCs w:val="32"/>
          <w:shd w:val="clear" w:fill="FFFFFF"/>
          <w:lang w:val="en-US" w:eastAsia="zh-CN"/>
        </w:rPr>
        <w:t>805.04</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仿宋" w:eastAsia="楷体_GB2312"/>
          <w:b/>
          <w:sz w:val="32"/>
          <w:szCs w:val="32"/>
          <w:highlight w:val="none"/>
        </w:rPr>
      </w:pPr>
      <w:r>
        <w:rPr>
          <w:rFonts w:hint="eastAsia" w:ascii="仿宋_GB2312" w:hAnsi="ˎ̥" w:eastAsia="仿宋_GB2312"/>
          <w:sz w:val="32"/>
          <w:szCs w:val="32"/>
          <w:lang w:val="en-US"/>
        </w:rPr>
        <w:t>本年支出</w:t>
      </w:r>
      <w:r>
        <w:rPr>
          <w:rFonts w:hint="eastAsia" w:ascii="仿宋_GB2312" w:hAnsi="仿宋_GB2312" w:eastAsia="仿宋_GB2312" w:cs="仿宋_GB2312"/>
          <w:i w:val="0"/>
          <w:iCs w:val="0"/>
          <w:caps w:val="0"/>
          <w:color w:val="auto"/>
          <w:spacing w:val="0"/>
          <w:sz w:val="32"/>
          <w:szCs w:val="32"/>
          <w:shd w:val="clear" w:fill="FFFFFF"/>
          <w:lang w:val="en-US" w:eastAsia="zh-CN"/>
        </w:rPr>
        <w:t>805.04</w:t>
      </w:r>
      <w:r>
        <w:rPr>
          <w:rFonts w:hint="eastAsia" w:ascii="仿宋_GB2312" w:hAnsi="ˎ̥" w:eastAsia="仿宋_GB2312"/>
          <w:sz w:val="32"/>
          <w:szCs w:val="32"/>
          <w:lang w:val="en-US"/>
        </w:rPr>
        <w:t>万元，其中：</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基本支出614.22万元，占76%；项目支出190.82万元，占24%。</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度收入总计805.04万元</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支</w:t>
      </w:r>
      <w:r>
        <w:rPr>
          <w:rFonts w:hint="eastAsia" w:ascii="仿宋_GB2312" w:hAnsi="仿宋_GB2312" w:eastAsia="仿宋_GB2312" w:cs="仿宋_GB2312"/>
          <w:i w:val="0"/>
          <w:iCs w:val="0"/>
          <w:caps w:val="0"/>
          <w:color w:val="auto"/>
          <w:spacing w:val="0"/>
          <w:sz w:val="32"/>
          <w:szCs w:val="32"/>
          <w:shd w:val="clear" w:fill="FFFFFF"/>
          <w:lang w:val="en-US" w:eastAsia="zh-CN"/>
        </w:rPr>
        <w:t>出总计805.04万元</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较上年相比，</w:t>
      </w:r>
      <w:r>
        <w:rPr>
          <w:rFonts w:hint="eastAsia" w:ascii="仿宋_GB2312" w:hAnsi="仿宋_GB2312" w:eastAsia="仿宋_GB2312" w:cs="仿宋_GB2312"/>
          <w:i w:val="0"/>
          <w:iCs w:val="0"/>
          <w:caps w:val="0"/>
          <w:color w:val="auto"/>
          <w:spacing w:val="0"/>
          <w:sz w:val="32"/>
          <w:szCs w:val="32"/>
          <w:shd w:val="clear" w:fill="FFFFFF"/>
          <w:lang w:val="en-US" w:eastAsia="zh-CN"/>
        </w:rPr>
        <w:t>增加55.78万元</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增长7.4%。较上年增加的主要原因是专项经费增加。</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49" w:name="_Toc13694_WPSOffice_Level2"/>
      <w:bookmarkStart w:id="50" w:name="_Toc23005_WPSOffice_Level2"/>
      <w:bookmarkStart w:id="51" w:name="_Toc19665_WPSOffice_Level2"/>
      <w:bookmarkStart w:id="52" w:name="_Toc9989_WPSOffice_Level2"/>
      <w:bookmarkStart w:id="53" w:name="_Toc21737_WPSOffice_Level2"/>
      <w:bookmarkStart w:id="54" w:name="_Toc17398_WPSOffice_Level2"/>
      <w:r>
        <w:rPr>
          <w:rFonts w:hint="eastAsia" w:ascii="楷体" w:hAnsi="楷体" w:eastAsia="楷体" w:cs="楷体"/>
          <w:sz w:val="32"/>
          <w:szCs w:val="32"/>
        </w:rPr>
        <w:t>（一）一般公共预算财政拨款支出决算总体情况</w:t>
      </w:r>
      <w:bookmarkEnd w:id="49"/>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eastAsia" w:ascii="仿宋_GB2312" w:hAnsi="仿宋_GB2312" w:eastAsia="仿宋_GB2312" w:cs="仿宋_GB2312"/>
          <w:i w:val="0"/>
          <w:iCs w:val="0"/>
          <w:caps w:val="0"/>
          <w:color w:val="auto"/>
          <w:spacing w:val="0"/>
          <w:sz w:val="32"/>
          <w:szCs w:val="32"/>
          <w:shd w:val="clear" w:fill="FFFFFF"/>
          <w:lang w:val="en-US" w:eastAsia="zh-CN"/>
        </w:rPr>
        <w:t>805.04</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w:t>
      </w:r>
      <w:r>
        <w:rPr>
          <w:rFonts w:hint="eastAsia" w:ascii="仿宋_GB2312" w:hAnsi="ˎ̥" w:eastAsia="仿宋_GB2312"/>
          <w:sz w:val="32"/>
          <w:szCs w:val="32"/>
          <w:lang w:eastAsia="zh-CN"/>
        </w:rPr>
        <w:t>增加</w:t>
      </w:r>
      <w:r>
        <w:rPr>
          <w:rFonts w:hint="eastAsia" w:ascii="仿宋_GB2312" w:hAnsi="仿宋_GB2312" w:eastAsia="仿宋_GB2312" w:cs="仿宋_GB2312"/>
          <w:i w:val="0"/>
          <w:iCs w:val="0"/>
          <w:caps w:val="0"/>
          <w:color w:val="auto"/>
          <w:spacing w:val="0"/>
          <w:sz w:val="32"/>
          <w:szCs w:val="32"/>
          <w:shd w:val="clear" w:fill="FFFFFF"/>
          <w:lang w:val="en-US" w:eastAsia="zh-CN"/>
        </w:rPr>
        <w:t>55.78</w:t>
      </w:r>
      <w:r>
        <w:rPr>
          <w:rFonts w:hint="eastAsia" w:ascii="仿宋_GB2312" w:hAnsi="ˎ̥" w:eastAsia="仿宋_GB2312"/>
          <w:sz w:val="32"/>
          <w:szCs w:val="32"/>
        </w:rPr>
        <w:t>万元，</w:t>
      </w:r>
      <w:r>
        <w:rPr>
          <w:rFonts w:hint="eastAsia" w:ascii="仿宋_GB2312" w:hAnsi="仿宋_GB2312" w:eastAsia="仿宋_GB2312" w:cs="仿宋_GB2312"/>
          <w:i w:val="0"/>
          <w:iCs w:val="0"/>
          <w:caps w:val="0"/>
          <w:color w:val="auto"/>
          <w:spacing w:val="0"/>
          <w:sz w:val="32"/>
          <w:szCs w:val="32"/>
          <w:shd w:val="clear" w:fill="FFFFFF"/>
          <w:lang w:val="en-US" w:eastAsia="zh-CN"/>
        </w:rPr>
        <w:t>增长7.4%</w:t>
      </w:r>
      <w:r>
        <w:rPr>
          <w:rFonts w:hint="eastAsia" w:ascii="仿宋_GB2312" w:hAnsi="ˎ̥" w:eastAsia="仿宋_GB2312"/>
          <w:sz w:val="32"/>
          <w:szCs w:val="32"/>
        </w:rPr>
        <w:t>，主要原因是</w:t>
      </w:r>
      <w:r>
        <w:rPr>
          <w:rFonts w:hint="eastAsia" w:ascii="仿宋_GB2312" w:hAnsi="仿宋_GB2312" w:eastAsia="仿宋_GB2312" w:cs="仿宋_GB2312"/>
          <w:i w:val="0"/>
          <w:iCs w:val="0"/>
          <w:caps w:val="0"/>
          <w:color w:val="auto"/>
          <w:spacing w:val="0"/>
          <w:sz w:val="32"/>
          <w:szCs w:val="32"/>
          <w:shd w:val="clear" w:fill="FFFFFF"/>
          <w:lang w:val="en-US" w:eastAsia="zh-CN"/>
        </w:rPr>
        <w:t>专项经费增加。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55" w:name="_Toc2711_WPSOffice_Level2"/>
      <w:bookmarkStart w:id="56" w:name="_Toc18793_WPSOffice_Level2"/>
      <w:bookmarkStart w:id="57" w:name="_Toc19075_WPSOffice_Level2"/>
      <w:bookmarkStart w:id="58" w:name="_Toc19535_WPSOffice_Level2"/>
      <w:bookmarkStart w:id="59" w:name="_Toc27767_WPSOffice_Level2"/>
      <w:bookmarkStart w:id="60" w:name="_Toc23864_WPSOffice_Level2"/>
      <w:r>
        <w:rPr>
          <w:rFonts w:hint="eastAsia" w:ascii="楷体" w:hAnsi="楷体" w:eastAsia="楷体" w:cs="楷体"/>
          <w:sz w:val="32"/>
          <w:szCs w:val="32"/>
        </w:rPr>
        <w:t>（二）一般公共预算财政拨款支出决算结构情况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eastAsia" w:ascii="仿宋_GB2312" w:hAnsi="仿宋_GB2312" w:eastAsia="仿宋_GB2312" w:cs="仿宋_GB2312"/>
          <w:i w:val="0"/>
          <w:iCs w:val="0"/>
          <w:caps w:val="0"/>
          <w:color w:val="auto"/>
          <w:spacing w:val="0"/>
          <w:sz w:val="32"/>
          <w:szCs w:val="32"/>
          <w:shd w:val="clear" w:fill="FFFFFF"/>
          <w:lang w:val="en-US" w:eastAsia="zh-CN"/>
        </w:rPr>
        <w:t>805.04</w:t>
      </w:r>
      <w:r>
        <w:rPr>
          <w:rFonts w:hint="eastAsia" w:ascii="仿宋_GB2312" w:hAnsi="ˎ̥" w:eastAsia="仿宋_GB2312"/>
          <w:sz w:val="32"/>
          <w:szCs w:val="32"/>
          <w:lang w:val="en-US" w:eastAsia="zh-CN"/>
        </w:rPr>
        <w:t>万元，主要用于以下方面：</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公共安全</w:t>
      </w:r>
      <w:r>
        <w:rPr>
          <w:rFonts w:hint="eastAsia" w:ascii="仿宋_GB2312" w:hAnsi="仿宋_GB2312" w:eastAsia="仿宋_GB2312" w:cs="仿宋_GB2312"/>
          <w:b/>
          <w:color w:val="auto"/>
          <w:sz w:val="32"/>
          <w:szCs w:val="32"/>
          <w:lang w:val="en-US" w:eastAsia="zh-CN"/>
        </w:rPr>
        <w:t>（类）</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i w:val="0"/>
          <w:iCs w:val="0"/>
          <w:caps w:val="0"/>
          <w:color w:val="auto"/>
          <w:spacing w:val="0"/>
          <w:sz w:val="32"/>
          <w:szCs w:val="32"/>
          <w:shd w:val="clear" w:fill="FFFFFF"/>
          <w:lang w:val="en-US" w:eastAsia="zh-CN"/>
        </w:rPr>
        <w:t>630.9</w:t>
      </w:r>
      <w:r>
        <w:rPr>
          <w:rFonts w:hint="eastAsia" w:ascii="仿宋_GB2312" w:hAnsi="仿宋_GB2312" w:eastAsia="仿宋_GB2312" w:cs="仿宋_GB2312"/>
          <w:sz w:val="32"/>
          <w:szCs w:val="32"/>
          <w:lang w:val="en-US" w:eastAsia="zh-CN"/>
        </w:rPr>
        <w:t>万元，占78%；</w:t>
      </w:r>
      <w:r>
        <w:rPr>
          <w:rFonts w:hint="eastAsia" w:ascii="仿宋_GB2312" w:hAnsi="仿宋_GB2312" w:eastAsia="仿宋_GB2312" w:cs="仿宋_GB2312"/>
          <w:b/>
          <w:color w:val="auto"/>
          <w:sz w:val="32"/>
          <w:szCs w:val="32"/>
          <w:lang w:val="en-US" w:eastAsia="zh-CN"/>
        </w:rPr>
        <w:t>社会保障和就业（类）</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i w:val="0"/>
          <w:iCs w:val="0"/>
          <w:caps w:val="0"/>
          <w:color w:val="auto"/>
          <w:spacing w:val="0"/>
          <w:sz w:val="32"/>
          <w:szCs w:val="32"/>
          <w:shd w:val="clear" w:fill="FFFFFF"/>
          <w:lang w:val="en-US" w:eastAsia="zh-CN"/>
        </w:rPr>
        <w:t>65.7万元，占8%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color w:val="auto"/>
          <w:sz w:val="32"/>
          <w:szCs w:val="32"/>
          <w:lang w:val="en-US" w:eastAsia="zh-CN"/>
        </w:rPr>
        <w:t>卫生健康（类）行政事业单位医疗（款）公务员医疗补助（项）</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i w:val="0"/>
          <w:iCs w:val="0"/>
          <w:caps w:val="0"/>
          <w:color w:val="auto"/>
          <w:spacing w:val="0"/>
          <w:sz w:val="32"/>
          <w:szCs w:val="32"/>
          <w:shd w:val="clear" w:fill="FFFFFF"/>
          <w:lang w:val="en-US" w:eastAsia="zh-CN"/>
        </w:rPr>
        <w:t>39.83万元，占5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color w:val="auto"/>
          <w:sz w:val="32"/>
          <w:szCs w:val="32"/>
          <w:lang w:val="en-US" w:eastAsia="zh-CN"/>
        </w:rPr>
        <w:t>住房保障（类）</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i w:val="0"/>
          <w:iCs w:val="0"/>
          <w:caps w:val="0"/>
          <w:color w:val="auto"/>
          <w:spacing w:val="0"/>
          <w:sz w:val="32"/>
          <w:szCs w:val="32"/>
          <w:shd w:val="clear" w:fill="FFFFFF"/>
          <w:lang w:val="en-US" w:eastAsia="zh-CN"/>
        </w:rPr>
        <w:t>住房保障支出68.61万元，占9%</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61" w:name="_Toc25136_WPSOffice_Level2"/>
      <w:bookmarkStart w:id="62" w:name="_Toc29364_WPSOffice_Level2"/>
      <w:bookmarkStart w:id="63" w:name="_Toc9502_WPSOffice_Level2"/>
      <w:bookmarkStart w:id="64" w:name="_Toc22318_WPSOffice_Level2"/>
      <w:bookmarkStart w:id="65" w:name="_Toc15415_WPSOffice_Level2"/>
      <w:bookmarkStart w:id="66" w:name="_Toc21701_WPSOffice_Level2"/>
      <w:r>
        <w:rPr>
          <w:rFonts w:hint="eastAsia" w:ascii="楷体" w:hAnsi="楷体" w:eastAsia="楷体" w:cs="楷体"/>
          <w:sz w:val="32"/>
          <w:szCs w:val="32"/>
        </w:rPr>
        <w:t>（三）一般公共预算财政拨款支出决算具体情况</w:t>
      </w:r>
      <w:bookmarkEnd w:id="61"/>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仿宋_GB2312" w:eastAsia="仿宋_GB2312" w:cs="仿宋_GB2312"/>
          <w:i w:val="0"/>
          <w:iCs w:val="0"/>
          <w:caps w:val="0"/>
          <w:color w:val="auto"/>
          <w:spacing w:val="0"/>
          <w:sz w:val="32"/>
          <w:szCs w:val="32"/>
          <w:shd w:val="clear" w:fill="FFFFFF"/>
          <w:lang w:val="en-US" w:eastAsia="zh-CN"/>
        </w:rPr>
        <w:t>805.04</w:t>
      </w:r>
      <w:r>
        <w:rPr>
          <w:rFonts w:hint="eastAsia" w:ascii="仿宋_GB2312" w:hAnsi="ˎ̥" w:eastAsia="仿宋_GB2312"/>
          <w:sz w:val="32"/>
          <w:szCs w:val="32"/>
        </w:rPr>
        <w:t>万元，支出决算为</w:t>
      </w:r>
      <w:r>
        <w:rPr>
          <w:rFonts w:hint="eastAsia" w:ascii="仿宋_GB2312" w:hAnsi="仿宋_GB2312" w:eastAsia="仿宋_GB2312" w:cs="仿宋_GB2312"/>
          <w:i w:val="0"/>
          <w:iCs w:val="0"/>
          <w:caps w:val="0"/>
          <w:color w:val="auto"/>
          <w:spacing w:val="0"/>
          <w:sz w:val="32"/>
          <w:szCs w:val="32"/>
          <w:shd w:val="clear" w:fill="FFFFFF"/>
          <w:lang w:val="en-US" w:eastAsia="zh-CN"/>
        </w:rPr>
        <w:t>805.04</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b/>
          <w:sz w:val="32"/>
          <w:szCs w:val="32"/>
        </w:rPr>
      </w:pPr>
      <w:r>
        <w:rPr>
          <w:rFonts w:hint="eastAsia" w:ascii="仿宋_GB2312" w:hAnsi="ˎ̥" w:eastAsia="仿宋_GB2312"/>
          <w:b/>
          <w:bCs/>
          <w:sz w:val="32"/>
          <w:szCs w:val="32"/>
        </w:rPr>
        <w:t>1.公共</w:t>
      </w:r>
      <w:r>
        <w:rPr>
          <w:rFonts w:hint="eastAsia" w:ascii="仿宋_GB2312" w:hAnsi="ˎ̥" w:eastAsia="仿宋_GB2312"/>
          <w:b/>
          <w:sz w:val="32"/>
          <w:szCs w:val="32"/>
        </w:rPr>
        <w:t>安全支出（类）司法（款）行政运行（项）。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ˎ̥" w:eastAsia="仿宋_GB2312"/>
          <w:color w:val="auto"/>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443.78</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443.78</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sz w:val="32"/>
          <w:szCs w:val="32"/>
          <w:lang w:val="en-US" w:eastAsia="zh-CN"/>
        </w:rPr>
        <w:t>2.</w:t>
      </w:r>
      <w:r>
        <w:rPr>
          <w:rFonts w:hint="eastAsia" w:ascii="仿宋_GB2312" w:hAnsi="ˎ̥" w:eastAsia="仿宋_GB2312"/>
          <w:b/>
          <w:sz w:val="32"/>
          <w:szCs w:val="32"/>
        </w:rPr>
        <w:t>公共安全支出（类）司法（款）基层司法业务（项）</w:t>
      </w:r>
      <w:r>
        <w:rPr>
          <w:rFonts w:hint="eastAsia" w:ascii="仿宋_GB2312" w:hAnsi="ˎ̥" w:eastAsia="仿宋_GB2312"/>
          <w:b/>
          <w:color w:val="auto"/>
          <w:sz w:val="32"/>
          <w:szCs w:val="32"/>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55.86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55.86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sz w:val="32"/>
          <w:szCs w:val="32"/>
          <w:lang w:val="en-US" w:eastAsia="zh-CN"/>
        </w:rPr>
        <w:t>3.</w:t>
      </w:r>
      <w:r>
        <w:rPr>
          <w:rFonts w:hint="eastAsia" w:ascii="仿宋_GB2312" w:hAnsi="ˎ̥" w:eastAsia="仿宋_GB2312"/>
          <w:b/>
          <w:sz w:val="32"/>
          <w:szCs w:val="32"/>
        </w:rPr>
        <w:t>公共安全支出（类）司法（款）基层</w:t>
      </w:r>
      <w:r>
        <w:rPr>
          <w:rFonts w:hint="eastAsia" w:ascii="仿宋_GB2312" w:hAnsi="ˎ̥" w:eastAsia="仿宋_GB2312"/>
          <w:b/>
          <w:sz w:val="32"/>
          <w:szCs w:val="32"/>
          <w:lang w:eastAsia="zh-CN"/>
        </w:rPr>
        <w:t>普法宣传</w:t>
      </w:r>
      <w:r>
        <w:rPr>
          <w:rFonts w:hint="eastAsia" w:ascii="仿宋_GB2312" w:hAnsi="ˎ̥" w:eastAsia="仿宋_GB2312"/>
          <w:b/>
          <w:sz w:val="32"/>
          <w:szCs w:val="32"/>
        </w:rPr>
        <w:t>（项）</w:t>
      </w:r>
      <w:r>
        <w:rPr>
          <w:rFonts w:hint="eastAsia" w:ascii="仿宋_GB2312" w:hAnsi="ˎ̥" w:eastAsia="仿宋_GB2312"/>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4.99</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4.99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sz w:val="32"/>
          <w:szCs w:val="32"/>
          <w:lang w:val="en-US" w:eastAsia="zh-CN"/>
        </w:rPr>
        <w:t>4.</w:t>
      </w:r>
      <w:r>
        <w:rPr>
          <w:rFonts w:hint="eastAsia" w:ascii="仿宋_GB2312" w:hAnsi="ˎ̥" w:eastAsia="仿宋_GB2312"/>
          <w:b/>
          <w:sz w:val="32"/>
          <w:szCs w:val="32"/>
        </w:rPr>
        <w:t>公共安全支出（类）司法（款）基层</w:t>
      </w:r>
      <w:r>
        <w:rPr>
          <w:rFonts w:hint="eastAsia" w:ascii="仿宋_GB2312" w:hAnsi="ˎ̥" w:eastAsia="仿宋_GB2312"/>
          <w:b/>
          <w:sz w:val="32"/>
          <w:szCs w:val="32"/>
          <w:lang w:eastAsia="zh-CN"/>
        </w:rPr>
        <w:t>律师管理</w:t>
      </w:r>
      <w:r>
        <w:rPr>
          <w:rFonts w:hint="eastAsia" w:ascii="仿宋_GB2312" w:hAnsi="ˎ̥" w:eastAsia="仿宋_GB2312"/>
          <w:b/>
          <w:sz w:val="32"/>
          <w:szCs w:val="32"/>
        </w:rPr>
        <w:t>（项）</w:t>
      </w:r>
      <w:r>
        <w:rPr>
          <w:rFonts w:hint="eastAsia" w:ascii="仿宋_GB2312" w:hAnsi="ˎ̥" w:eastAsia="仿宋_GB2312"/>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25.00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25.00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lang w:val="en-US" w:eastAsia="zh-CN"/>
        </w:rPr>
        <w:t>5.</w:t>
      </w:r>
      <w:r>
        <w:rPr>
          <w:rFonts w:hint="eastAsia" w:ascii="仿宋_GB2312" w:hAnsi="ˎ̥" w:eastAsia="仿宋_GB2312"/>
          <w:b/>
          <w:sz w:val="32"/>
          <w:szCs w:val="32"/>
        </w:rPr>
        <w:t>公共安全支出（类）司法（款）</w:t>
      </w:r>
      <w:r>
        <w:rPr>
          <w:rFonts w:hint="eastAsia" w:ascii="仿宋_GB2312" w:hAnsi="ˎ̥" w:eastAsia="仿宋_GB2312"/>
          <w:b/>
          <w:sz w:val="32"/>
          <w:szCs w:val="32"/>
          <w:lang w:eastAsia="zh-CN"/>
        </w:rPr>
        <w:t>公共法律服务</w:t>
      </w:r>
      <w:r>
        <w:rPr>
          <w:rFonts w:hint="eastAsia" w:ascii="仿宋_GB2312" w:hAnsi="ˎ̥" w:eastAsia="仿宋_GB2312"/>
          <w:b/>
          <w:sz w:val="32"/>
          <w:szCs w:val="32"/>
        </w:rPr>
        <w:t>（项）</w:t>
      </w:r>
      <w:r>
        <w:rPr>
          <w:rFonts w:hint="eastAsia" w:ascii="仿宋_GB2312" w:hAnsi="ˎ̥" w:eastAsia="仿宋_GB2312"/>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ˎ̥" w:eastAsia="仿宋_GB2312"/>
          <w:sz w:val="32"/>
          <w:szCs w:val="32"/>
          <w:lang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6.99</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6.99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lang w:val="en-US" w:eastAsia="zh-CN"/>
        </w:rPr>
        <w:t>6.</w:t>
      </w:r>
      <w:r>
        <w:rPr>
          <w:rFonts w:hint="eastAsia" w:ascii="仿宋_GB2312" w:hAnsi="ˎ̥" w:eastAsia="仿宋_GB2312"/>
          <w:b/>
          <w:sz w:val="32"/>
          <w:szCs w:val="32"/>
        </w:rPr>
        <w:t>公共安全支出（类）司法（款）</w:t>
      </w:r>
      <w:r>
        <w:rPr>
          <w:rFonts w:hint="eastAsia" w:ascii="仿宋_GB2312" w:hAnsi="ˎ̥" w:eastAsia="仿宋_GB2312"/>
          <w:b/>
          <w:sz w:val="32"/>
          <w:szCs w:val="32"/>
          <w:lang w:eastAsia="zh-CN"/>
        </w:rPr>
        <w:t>社区矫正</w:t>
      </w:r>
      <w:r>
        <w:rPr>
          <w:rFonts w:hint="eastAsia" w:ascii="仿宋_GB2312" w:hAnsi="ˎ̥" w:eastAsia="仿宋_GB2312"/>
          <w:b/>
          <w:sz w:val="32"/>
          <w:szCs w:val="32"/>
        </w:rPr>
        <w:t>（项）</w:t>
      </w:r>
      <w:r>
        <w:rPr>
          <w:rFonts w:hint="eastAsia" w:ascii="仿宋_GB2312" w:hAnsi="ˎ̥" w:eastAsia="仿宋_GB2312"/>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ˎ̥" w:eastAsia="仿宋_GB2312"/>
          <w:b/>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1.8</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1.8</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b/>
          <w:sz w:val="32"/>
          <w:szCs w:val="32"/>
          <w:lang w:eastAsia="zh-CN"/>
        </w:rPr>
      </w:pPr>
      <w:r>
        <w:rPr>
          <w:rFonts w:hint="eastAsia" w:ascii="仿宋_GB2312" w:hAnsi="ˎ̥" w:eastAsia="仿宋_GB2312"/>
          <w:b/>
          <w:sz w:val="32"/>
          <w:szCs w:val="32"/>
          <w:lang w:val="en-US" w:eastAsia="zh-CN"/>
        </w:rPr>
        <w:t>7.</w:t>
      </w:r>
      <w:r>
        <w:rPr>
          <w:rFonts w:hint="eastAsia" w:ascii="仿宋_GB2312" w:hAnsi="ˎ̥" w:eastAsia="仿宋_GB2312"/>
          <w:b/>
          <w:sz w:val="32"/>
          <w:szCs w:val="32"/>
        </w:rPr>
        <w:t>公共安全支出（类）司法（款）</w:t>
      </w:r>
      <w:r>
        <w:rPr>
          <w:rFonts w:hint="eastAsia" w:ascii="仿宋_GB2312" w:hAnsi="ˎ̥" w:eastAsia="仿宋_GB2312"/>
          <w:b/>
          <w:sz w:val="32"/>
          <w:szCs w:val="32"/>
          <w:lang w:eastAsia="zh-CN"/>
        </w:rPr>
        <w:t>其他司法支出</w:t>
      </w:r>
      <w:r>
        <w:rPr>
          <w:rFonts w:hint="eastAsia" w:ascii="仿宋_GB2312" w:hAnsi="ˎ̥" w:eastAsia="仿宋_GB2312"/>
          <w:b/>
          <w:sz w:val="32"/>
          <w:szCs w:val="32"/>
        </w:rPr>
        <w:t>（项）</w:t>
      </w:r>
      <w:r>
        <w:rPr>
          <w:rFonts w:hint="eastAsia" w:ascii="仿宋_GB2312" w:hAnsi="ˎ̥" w:eastAsia="仿宋_GB2312"/>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_GB2312" w:hAnsi="ˎ̥" w:eastAsia="仿宋_GB2312"/>
          <w:b/>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92.48</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92.48</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
          <w:b/>
          <w:color w:val="auto"/>
          <w:sz w:val="32"/>
          <w:szCs w:val="32"/>
          <w:lang w:val="en-US" w:eastAsia="zh-CN"/>
        </w:rPr>
      </w:pPr>
      <w:r>
        <w:rPr>
          <w:rFonts w:hint="eastAsia" w:ascii="仿宋_GB2312" w:hAnsi="ˎ̥" w:eastAsia="仿宋_GB2312"/>
          <w:b/>
          <w:color w:val="auto"/>
          <w:sz w:val="32"/>
          <w:szCs w:val="32"/>
          <w:lang w:val="en-US" w:eastAsia="zh-CN"/>
        </w:rPr>
        <w:t>8.</w:t>
      </w:r>
      <w:r>
        <w:rPr>
          <w:rFonts w:hint="eastAsia" w:ascii="仿宋" w:hAnsi="仿宋" w:eastAsia="仿宋"/>
          <w:b/>
          <w:color w:val="auto"/>
          <w:sz w:val="32"/>
          <w:szCs w:val="32"/>
          <w:highlight w:val="none"/>
        </w:rPr>
        <w:t>社会保障和就业（类）行政事业单位养老（款）机关事业单位基本养老保险缴费支出（项）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sz w:val="32"/>
          <w:szCs w:val="32"/>
          <w:lang w:val="en-US" w:eastAsia="zh-CN"/>
        </w:rPr>
        <w:t>65.70</w:t>
      </w:r>
      <w:r>
        <w:rPr>
          <w:rFonts w:hint="eastAsia" w:ascii="仿宋_GB2312" w:hAnsi="ˎ̥" w:eastAsia="仿宋_GB2312"/>
          <w:color w:val="auto"/>
          <w:sz w:val="32"/>
          <w:szCs w:val="32"/>
        </w:rPr>
        <w:t>万元，支出决算为</w:t>
      </w:r>
      <w:r>
        <w:rPr>
          <w:rFonts w:hint="eastAsia" w:ascii="仿宋_GB2312" w:hAnsi="ˎ̥" w:eastAsia="仿宋_GB2312"/>
          <w:sz w:val="32"/>
          <w:szCs w:val="32"/>
          <w:lang w:val="en-US" w:eastAsia="zh-CN"/>
        </w:rPr>
        <w:t>65.70</w:t>
      </w:r>
      <w:r>
        <w:rPr>
          <w:rFonts w:hint="eastAsia" w:ascii="仿宋_GB2312" w:hAnsi="ˎ̥" w:eastAsia="仿宋_GB2312"/>
          <w:color w:val="auto"/>
          <w:sz w:val="32"/>
          <w:szCs w:val="32"/>
        </w:rPr>
        <w:t>万元，完成年初预算的</w:t>
      </w:r>
      <w:r>
        <w:rPr>
          <w:rFonts w:hint="eastAsia" w:ascii="仿宋_GB2312" w:hAnsi="ˎ̥" w:eastAsia="仿宋_GB2312"/>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9.</w:t>
      </w:r>
      <w:r>
        <w:rPr>
          <w:rFonts w:hint="eastAsia" w:ascii="仿宋" w:hAnsi="仿宋" w:eastAsia="仿宋"/>
          <w:b/>
          <w:color w:val="auto"/>
          <w:sz w:val="32"/>
          <w:szCs w:val="32"/>
          <w:highlight w:val="none"/>
        </w:rPr>
        <w:t>卫生健康（类</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行政事业单位医疗（款）行政单位医疗（项）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31.62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31.62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10.</w:t>
      </w:r>
      <w:r>
        <w:rPr>
          <w:rFonts w:hint="eastAsia" w:ascii="仿宋" w:hAnsi="仿宋" w:eastAsia="仿宋"/>
          <w:b/>
          <w:color w:val="auto"/>
          <w:sz w:val="32"/>
          <w:szCs w:val="32"/>
          <w:highlight w:val="none"/>
        </w:rPr>
        <w:t>卫生健康（类</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行政事业单位医疗（款）公务员医疗补助（项）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sz w:val="32"/>
          <w:szCs w:val="32"/>
          <w:lang w:val="en-US" w:eastAsia="zh-CN"/>
        </w:rPr>
        <w:t>8.21</w:t>
      </w:r>
      <w:r>
        <w:rPr>
          <w:rFonts w:hint="eastAsia" w:ascii="仿宋_GB2312" w:hAnsi="ˎ̥" w:eastAsia="仿宋_GB2312"/>
          <w:color w:val="auto"/>
          <w:sz w:val="32"/>
          <w:szCs w:val="32"/>
        </w:rPr>
        <w:t>万元，支出决算为</w:t>
      </w:r>
      <w:r>
        <w:rPr>
          <w:rFonts w:hint="eastAsia" w:ascii="仿宋_GB2312" w:hAnsi="ˎ̥" w:eastAsia="仿宋_GB2312"/>
          <w:sz w:val="32"/>
          <w:szCs w:val="32"/>
          <w:lang w:val="en-US" w:eastAsia="zh-CN"/>
        </w:rPr>
        <w:t>8.21</w:t>
      </w:r>
      <w:r>
        <w:rPr>
          <w:rFonts w:hint="eastAsia" w:ascii="仿宋_GB2312" w:hAnsi="ˎ̥" w:eastAsia="仿宋_GB2312"/>
          <w:color w:val="auto"/>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b/>
          <w:color w:val="auto"/>
          <w:sz w:val="32"/>
          <w:szCs w:val="32"/>
          <w:highlight w:val="none"/>
          <w:lang w:eastAsia="zh-CN"/>
        </w:rPr>
      </w:pPr>
      <w:r>
        <w:rPr>
          <w:rFonts w:hint="eastAsia" w:ascii="仿宋_GB2312" w:hAnsi="ˎ̥" w:eastAsia="仿宋_GB2312"/>
          <w:color w:val="auto"/>
          <w:sz w:val="32"/>
          <w:szCs w:val="32"/>
          <w:lang w:val="en-US" w:eastAsia="zh-CN"/>
        </w:rPr>
        <w:t>11.</w:t>
      </w:r>
      <w:r>
        <w:rPr>
          <w:rFonts w:hint="eastAsia" w:ascii="仿宋" w:hAnsi="仿宋" w:eastAsia="仿宋"/>
          <w:b/>
          <w:color w:val="auto"/>
          <w:sz w:val="32"/>
          <w:szCs w:val="32"/>
          <w:highlight w:val="none"/>
        </w:rPr>
        <w:t>住房保障（类）住房改革（款）住房公积金（项）</w:t>
      </w:r>
      <w:r>
        <w:rPr>
          <w:rFonts w:hint="eastAsia" w:ascii="仿宋" w:hAnsi="仿宋" w:eastAsia="仿宋"/>
          <w:b/>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sz w:val="32"/>
          <w:szCs w:val="32"/>
          <w:lang w:val="en-US" w:eastAsia="zh-CN"/>
        </w:rPr>
        <w:t>49.28</w:t>
      </w:r>
      <w:r>
        <w:rPr>
          <w:rFonts w:hint="eastAsia" w:ascii="仿宋_GB2312" w:hAnsi="ˎ̥" w:eastAsia="仿宋_GB2312"/>
          <w:color w:val="auto"/>
          <w:sz w:val="32"/>
          <w:szCs w:val="32"/>
        </w:rPr>
        <w:t>万元，支出决算为</w:t>
      </w:r>
      <w:r>
        <w:rPr>
          <w:rFonts w:hint="eastAsia" w:ascii="仿宋_GB2312" w:hAnsi="ˎ̥" w:eastAsia="仿宋_GB2312"/>
          <w:sz w:val="32"/>
          <w:szCs w:val="32"/>
          <w:lang w:val="en-US" w:eastAsia="zh-CN"/>
        </w:rPr>
        <w:t>49.28</w:t>
      </w:r>
      <w:r>
        <w:rPr>
          <w:rFonts w:hint="eastAsia" w:ascii="仿宋_GB2312" w:hAnsi="ˎ̥" w:eastAsia="仿宋_GB2312"/>
          <w:color w:val="auto"/>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sz w:val="32"/>
          <w:szCs w:val="32"/>
          <w:lang w:val="en-US" w:eastAsia="zh-CN"/>
        </w:rPr>
      </w:pPr>
      <w:r>
        <w:rPr>
          <w:rFonts w:hint="eastAsia" w:ascii="仿宋" w:hAnsi="仿宋" w:eastAsia="仿宋"/>
          <w:b/>
          <w:color w:val="auto"/>
          <w:sz w:val="32"/>
          <w:szCs w:val="32"/>
          <w:highlight w:val="none"/>
        </w:rPr>
        <w:t>住房保障（类）住房改革（款）购房补贴（项）</w:t>
      </w:r>
      <w:r>
        <w:rPr>
          <w:rFonts w:hint="eastAsia" w:ascii="仿宋" w:hAnsi="仿宋" w:eastAsia="仿宋"/>
          <w:b/>
          <w:color w:val="auto"/>
          <w:sz w:val="32"/>
          <w:szCs w:val="32"/>
          <w:highlight w:val="none"/>
          <w:lang w:eastAsia="zh-CN"/>
        </w:rPr>
        <w:t>。</w:t>
      </w:r>
      <w:r>
        <w:rPr>
          <w:rFonts w:hint="eastAsia" w:ascii="仿宋_GB2312" w:hAnsi="ˎ̥" w:eastAsia="仿宋_GB2312"/>
          <w:color w:val="auto"/>
          <w:sz w:val="32"/>
          <w:szCs w:val="32"/>
        </w:rPr>
        <w:t>年初预算为</w:t>
      </w:r>
      <w:r>
        <w:rPr>
          <w:rFonts w:hint="eastAsia" w:ascii="仿宋_GB2312" w:hAnsi="ˎ̥" w:eastAsia="仿宋_GB2312"/>
          <w:sz w:val="32"/>
          <w:szCs w:val="32"/>
          <w:lang w:val="en-US" w:eastAsia="zh-CN"/>
        </w:rPr>
        <w:t>19.33</w:t>
      </w:r>
      <w:r>
        <w:rPr>
          <w:rFonts w:hint="eastAsia" w:ascii="仿宋_GB2312" w:hAnsi="ˎ̥" w:eastAsia="仿宋_GB2312"/>
          <w:color w:val="auto"/>
          <w:sz w:val="32"/>
          <w:szCs w:val="32"/>
        </w:rPr>
        <w:t>万元，支出决算为</w:t>
      </w:r>
      <w:r>
        <w:rPr>
          <w:rFonts w:hint="eastAsia" w:ascii="仿宋_GB2312" w:hAnsi="ˎ̥" w:eastAsia="仿宋_GB2312"/>
          <w:sz w:val="32"/>
          <w:szCs w:val="32"/>
          <w:lang w:val="en-US" w:eastAsia="zh-CN"/>
        </w:rPr>
        <w:t>19.33万元，完成年初预算的100%。</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rPr>
        <w:t>614.22</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573.48</w:t>
      </w:r>
      <w:r>
        <w:rPr>
          <w:rFonts w:hint="eastAsia" w:ascii="仿宋_GB2312" w:hAnsi="ˎ̥" w:eastAsia="仿宋_GB2312"/>
          <w:sz w:val="32"/>
          <w:szCs w:val="32"/>
        </w:rPr>
        <w:t>万元，主要包括：工资福利支出中的基本工资、津贴补贴、机关事业单位基本养老保险缴费、职工基本医疗保险缴费、公务员医疗补助缴费、其他社会保障缴费、住房公积金、医疗费、其他工资福利支出；对个人和家庭的补助</w:t>
      </w:r>
      <w:r>
        <w:rPr>
          <w:rFonts w:hint="eastAsia" w:ascii="仿宋_GB2312" w:hAnsi="ˎ̥" w:eastAsia="仿宋_GB2312"/>
          <w:sz w:val="32"/>
          <w:szCs w:val="32"/>
          <w:lang w:eastAsia="zh-CN"/>
        </w:rPr>
        <w:t>、生活补助</w:t>
      </w:r>
      <w:r>
        <w:rPr>
          <w:rFonts w:hint="eastAsia" w:ascii="仿宋_GB2312" w:hAnsi="ˎ̥" w:eastAsia="仿宋_GB2312"/>
          <w:sz w:val="32"/>
          <w:szCs w:val="32"/>
        </w:rPr>
        <w:t>。公用经费</w:t>
      </w:r>
      <w:r>
        <w:rPr>
          <w:rFonts w:hint="eastAsia" w:ascii="仿宋_GB2312" w:hAnsi="ˎ̥" w:eastAsia="仿宋_GB2312"/>
          <w:sz w:val="32"/>
          <w:szCs w:val="32"/>
          <w:lang w:val="en-US" w:eastAsia="zh-CN"/>
        </w:rPr>
        <w:t>40.74</w:t>
      </w:r>
      <w:r>
        <w:rPr>
          <w:rFonts w:hint="eastAsia" w:ascii="仿宋_GB2312" w:hAnsi="ˎ̥" w:eastAsia="仿宋_GB2312"/>
          <w:sz w:val="32"/>
          <w:szCs w:val="32"/>
        </w:rPr>
        <w:t>万元，主要包括：商品和服务支出中的办公费、印刷费、水费、电费、邮电费、差旅费、维修（护）费、培训费、委托业务费、工会经费、公务用车运行维护费、其他交通费用、其他商品和服务支出。</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政府性基金预算财政拨款支出。</w:t>
      </w:r>
    </w:p>
    <w:p>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国有资本经营预算财政拨款支出。</w:t>
      </w: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10.75</w:t>
      </w:r>
      <w:r>
        <w:rPr>
          <w:rFonts w:hint="eastAsia" w:ascii="仿宋_GB2312" w:hAnsi="ˎ̥" w:eastAsia="仿宋_GB2312"/>
          <w:sz w:val="32"/>
          <w:szCs w:val="32"/>
        </w:rPr>
        <w:t>万元，支出决算为</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10.75</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5.28</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96</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2024年度对本单位公务用车进行维修并更换轮胎，产生的车辆维修费较高</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w:t>
      </w:r>
      <w:r>
        <w:rPr>
          <w:rFonts w:hint="eastAsia" w:ascii="仿宋_GB2312" w:hAnsi="ˎ̥" w:eastAsia="仿宋_GB2312"/>
          <w:sz w:val="32"/>
          <w:szCs w:val="32"/>
          <w:lang w:val="en-US"/>
        </w:rPr>
        <w:t>算</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10.75</w:t>
      </w:r>
      <w:r>
        <w:rPr>
          <w:rFonts w:hint="eastAsia" w:ascii="仿宋_GB2312" w:hAnsi="ˎ̥" w:eastAsia="仿宋_GB2312"/>
          <w:sz w:val="32"/>
          <w:szCs w:val="32"/>
          <w:lang w:val="en-US"/>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lang w:val="en-US"/>
        </w:rPr>
        <w:t>%</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snapToGrid w:val="0"/>
        <w:spacing w:line="520" w:lineRule="exact"/>
        <w:ind w:firstLine="640" w:firstLineChars="200"/>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2024年度绩效目标，按照年初绩效目标要求并结合本单位工作实际完成绩效目标。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67" w:name="_Toc15262_WPSOffice_Level2"/>
      <w:bookmarkStart w:id="68" w:name="_Toc32639_WPSOffice_Level2"/>
      <w:bookmarkStart w:id="69" w:name="_Toc23598_WPSOffice_Level2"/>
      <w:bookmarkStart w:id="70" w:name="_Toc18325_WPSOffice_Level2"/>
      <w:bookmarkStart w:id="71" w:name="_Toc15565_WPSOffice_Level2"/>
      <w:bookmarkStart w:id="72" w:name="_Toc5978_WPSOffice_Level2"/>
      <w:r>
        <w:rPr>
          <w:rFonts w:hint="eastAsia" w:ascii="楷体" w:hAnsi="楷体" w:eastAsia="楷体" w:cs="楷体"/>
          <w:bCs/>
          <w:sz w:val="32"/>
          <w:szCs w:val="32"/>
        </w:rPr>
        <w:t>（一）机关运行经费支出情况</w:t>
      </w:r>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bidi="ar"/>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val="en-US" w:eastAsia="zh-CN"/>
        </w:rPr>
        <w:t>本单位</w:t>
      </w:r>
      <w:r>
        <w:rPr>
          <w:rFonts w:hint="eastAsia" w:ascii="仿宋_GB2312" w:hAnsi="ˎ̥" w:eastAsia="仿宋_GB2312"/>
          <w:sz w:val="32"/>
          <w:szCs w:val="32"/>
        </w:rPr>
        <w:t>机关运行经费</w:t>
      </w:r>
      <w:r>
        <w:rPr>
          <w:rFonts w:hint="eastAsia" w:ascii="仿宋_GB2312" w:hAnsi="ˎ̥" w:eastAsia="仿宋_GB2312"/>
          <w:sz w:val="32"/>
          <w:szCs w:val="32"/>
          <w:lang w:val="en-US" w:eastAsia="zh-CN"/>
        </w:rPr>
        <w:t>40.74</w:t>
      </w:r>
      <w:r>
        <w:rPr>
          <w:rFonts w:hint="eastAsia" w:ascii="仿宋_GB2312" w:hAnsi="ˎ̥" w:eastAsia="仿宋_GB2312"/>
          <w:sz w:val="32"/>
          <w:szCs w:val="32"/>
        </w:rPr>
        <w:t>万元（为部门决算中行政单位和参公事业单位财政拨款基本支出中公用经费支出之和，事业单位没有机关运行经费支出），</w:t>
      </w:r>
      <w:r>
        <w:rPr>
          <w:rFonts w:hint="eastAsia" w:ascii="仿宋_GB2312" w:hAnsi="ˎ̥" w:eastAsia="仿宋_GB2312"/>
          <w:sz w:val="32"/>
          <w:szCs w:val="32"/>
          <w:lang w:eastAsia="zh-CN"/>
        </w:rPr>
        <w:t>比</w:t>
      </w:r>
      <w:bookmarkStart w:id="86" w:name="_GoBack"/>
      <w:bookmarkEnd w:id="86"/>
      <w:r>
        <w:rPr>
          <w:rFonts w:hint="eastAsia" w:ascii="仿宋_GB2312" w:hAnsi="ˎ̥" w:eastAsia="仿宋_GB2312"/>
          <w:sz w:val="32"/>
          <w:szCs w:val="32"/>
        </w:rPr>
        <w:t>年初预算增</w:t>
      </w:r>
      <w:r>
        <w:rPr>
          <w:rFonts w:hint="eastAsia" w:ascii="仿宋_GB2312" w:hAnsi="ˎ̥" w:eastAsia="仿宋_GB2312"/>
          <w:sz w:val="32"/>
          <w:szCs w:val="32"/>
          <w:lang w:val="en-US" w:eastAsia="zh-CN"/>
        </w:rPr>
        <w:t>40.74</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完成预算的100</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减少</w:t>
      </w:r>
      <w:r>
        <w:rPr>
          <w:rFonts w:hint="eastAsia" w:ascii="仿宋_GB2312" w:hAnsi="ˎ̥" w:eastAsia="仿宋_GB2312"/>
          <w:sz w:val="32"/>
          <w:szCs w:val="32"/>
          <w:lang w:val="en-US" w:eastAsia="zh-CN"/>
        </w:rPr>
        <w:t>1.12</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下降27.49%。</w:t>
      </w:r>
      <w:r>
        <w:rPr>
          <w:rFonts w:hint="eastAsia" w:ascii="仿宋_GB2312" w:hAnsi="ˎ̥" w:eastAsia="仿宋_GB2312"/>
          <w:sz w:val="32"/>
          <w:szCs w:val="32"/>
        </w:rPr>
        <w:t>主要原因是：</w:t>
      </w:r>
      <w:r>
        <w:rPr>
          <w:rFonts w:hint="eastAsia" w:ascii="仿宋_GB2312" w:hAnsi="ˎ̥" w:eastAsia="仿宋_GB2312"/>
          <w:sz w:val="32"/>
          <w:szCs w:val="32"/>
          <w:lang w:bidi="ar"/>
        </w:rPr>
        <w:t>人员数量减少</w:t>
      </w:r>
      <w:r>
        <w:rPr>
          <w:rFonts w:hint="eastAsia" w:ascii="仿宋_GB2312" w:hAnsi="ˎ̥" w:eastAsia="仿宋_GB2312"/>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73" w:name="_Toc25333_WPSOffice_Level2"/>
      <w:bookmarkStart w:id="74" w:name="_Toc30383_WPSOffice_Level2"/>
      <w:bookmarkStart w:id="75" w:name="_Toc23966_WPSOffice_Level2"/>
      <w:bookmarkStart w:id="76" w:name="_Toc32689_WPSOffice_Level2"/>
      <w:bookmarkStart w:id="77" w:name="_Toc3131_WPSOffice_Level2"/>
      <w:bookmarkStart w:id="78" w:name="_Toc13084_WPSOffice_Level2"/>
      <w:r>
        <w:rPr>
          <w:rFonts w:hint="eastAsia" w:ascii="楷体" w:hAnsi="楷体" w:eastAsia="楷体" w:cs="楷体"/>
          <w:bCs/>
          <w:sz w:val="32"/>
          <w:szCs w:val="32"/>
        </w:rPr>
        <w:t>（二）政府采购支出情况</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政府采购支出。</w:t>
      </w:r>
    </w:p>
    <w:bookmarkEnd w:id="0"/>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79" w:name="_Toc527_WPSOffice_Level2"/>
      <w:bookmarkStart w:id="80" w:name="_Toc10902_WPSOffice_Level2"/>
      <w:bookmarkStart w:id="81" w:name="_Toc6016_WPSOffice_Level2"/>
      <w:bookmarkStart w:id="82" w:name="_Toc19989_WPSOffice_Level2"/>
      <w:bookmarkStart w:id="83" w:name="_Toc15129_WPSOffice_Level2"/>
      <w:bookmarkStart w:id="84" w:name="_Toc29584_WPSOffice_Level2"/>
      <w:bookmarkStart w:id="85" w:name="YS060103"/>
      <w:r>
        <w:rPr>
          <w:rFonts w:hint="eastAsia" w:ascii="楷体" w:hAnsi="楷体" w:eastAsia="楷体" w:cs="楷体"/>
          <w:bCs/>
          <w:sz w:val="32"/>
          <w:szCs w:val="32"/>
        </w:rPr>
        <w:t>（三）国有资产占用情况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ˎ̥" w:eastAsia="黑体"/>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w:t>
      </w: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2</w:t>
      </w:r>
      <w:r>
        <w:rPr>
          <w:rFonts w:hint="eastAsia" w:ascii="仿宋_GB2312" w:hAnsi="ˎ̥" w:eastAsia="仿宋_GB2312"/>
          <w:sz w:val="32"/>
          <w:szCs w:val="32"/>
        </w:rPr>
        <w:t>辆，</w:t>
      </w:r>
      <w:r>
        <w:rPr>
          <w:rFonts w:hint="eastAsia" w:ascii="仿宋_GB2312" w:hAnsi="ˎ̥" w:eastAsia="仿宋_GB2312"/>
          <w:sz w:val="32"/>
          <w:szCs w:val="32"/>
          <w:lang w:eastAsia="zh-CN"/>
        </w:rPr>
        <w:t>均为公务</w:t>
      </w:r>
      <w:r>
        <w:rPr>
          <w:rFonts w:hint="eastAsia" w:ascii="仿宋_GB2312" w:hAnsi="ˎ̥" w:eastAsia="仿宋_GB2312"/>
          <w:sz w:val="32"/>
          <w:szCs w:val="32"/>
        </w:rPr>
        <w:t>用车。</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ˎ̥" w:eastAsia="黑体"/>
          <w:sz w:val="32"/>
          <w:szCs w:val="32"/>
        </w:rPr>
      </w:pPr>
      <w:r>
        <w:rPr>
          <w:rFonts w:hint="eastAsia" w:ascii="黑体" w:hAnsi="ˎ̥" w:eastAsia="黑体"/>
          <w:sz w:val="32"/>
          <w:szCs w:val="32"/>
        </w:rPr>
        <w:t xml:space="preserve"> 名词解释</w:t>
      </w:r>
    </w:p>
    <w:p>
      <w:pPr>
        <w:pStyle w:val="2"/>
        <w:numPr>
          <w:ilvl w:val="0"/>
          <w:numId w:val="0"/>
        </w:numPr>
        <w:ind w:leftChars="0"/>
        <w:rPr>
          <w:rFonts w:hint="eastAsia"/>
        </w:rPr>
      </w:pP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bookmarkEnd w:id="85"/>
    <w:p>
      <w:pPr>
        <w:widowControl/>
        <w:textAlignment w:val="center"/>
        <w:rPr>
          <w:rFonts w:hint="eastAsia" w:ascii="仿宋_GB2312" w:hAnsi="仿宋" w:eastAsia="仿宋_GB2312"/>
          <w:sz w:val="32"/>
          <w:szCs w:val="32"/>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3</w:t>
    </w:r>
    <w:r>
      <w:rPr>
        <w:rFonts w:ascii="Arial" w:hAnsi="Arial" w:cs="Arial"/>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1889F"/>
    <w:multiLevelType w:val="singleLevel"/>
    <w:tmpl w:val="AE31889F"/>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D16C2C1C"/>
    <w:multiLevelType w:val="singleLevel"/>
    <w:tmpl w:val="D16C2C1C"/>
    <w:lvl w:ilvl="0" w:tentative="0">
      <w:start w:val="1"/>
      <w:numFmt w:val="chineseCounting"/>
      <w:suff w:val="space"/>
      <w:lvlText w:val="第%1部分"/>
      <w:lvlJc w:val="left"/>
      <w:rPr>
        <w:rFonts w:hint="eastAsia"/>
      </w:rPr>
    </w:lvl>
  </w:abstractNum>
  <w:abstractNum w:abstractNumId="3">
    <w:nsid w:val="EF57AC26"/>
    <w:multiLevelType w:val="singleLevel"/>
    <w:tmpl w:val="EF57AC26"/>
    <w:lvl w:ilvl="0" w:tentative="0">
      <w:start w:val="1"/>
      <w:numFmt w:val="chineseCounting"/>
      <w:suff w:val="nothing"/>
      <w:lvlText w:val="（%1）"/>
      <w:lvlJc w:val="left"/>
      <w:rPr>
        <w:rFonts w:hint="eastAsia"/>
      </w:rPr>
    </w:lvl>
  </w:abstractNum>
  <w:abstractNum w:abstractNumId="4">
    <w:nsid w:val="FCCA99E7"/>
    <w:multiLevelType w:val="singleLevel"/>
    <w:tmpl w:val="FCCA99E7"/>
    <w:lvl w:ilvl="0" w:tentative="0">
      <w:start w:val="6"/>
      <w:numFmt w:val="chineseCounting"/>
      <w:suff w:val="nothing"/>
      <w:lvlText w:val="%1、"/>
      <w:lvlJc w:val="left"/>
      <w:rPr>
        <w:rFonts w:hint="eastAsia"/>
      </w:rPr>
    </w:lvl>
  </w:abstractNum>
  <w:abstractNum w:abstractNumId="5">
    <w:nsid w:val="0BABFA2F"/>
    <w:multiLevelType w:val="singleLevel"/>
    <w:tmpl w:val="0BABFA2F"/>
    <w:lvl w:ilvl="0" w:tentative="0">
      <w:start w:val="12"/>
      <w:numFmt w:val="decimal"/>
      <w:lvlText w:val="%1."/>
      <w:lvlJc w:val="left"/>
      <w:pPr>
        <w:tabs>
          <w:tab w:val="left" w:pos="312"/>
        </w:tabs>
      </w:pPr>
    </w:lvl>
  </w:abstractNum>
  <w:abstractNum w:abstractNumId="6">
    <w:nsid w:val="72109F8D"/>
    <w:multiLevelType w:val="singleLevel"/>
    <w:tmpl w:val="72109F8D"/>
    <w:lvl w:ilvl="0" w:tentative="0">
      <w:start w:val="7"/>
      <w:numFmt w:val="chineseCounting"/>
      <w:suff w:val="nothing"/>
      <w:lvlText w:val="%1、"/>
      <w:lvlJc w:val="left"/>
      <w:rPr>
        <w:rFonts w:hint="eastAsia"/>
      </w:r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86B"/>
    <w:rsid w:val="00002EA9"/>
    <w:rsid w:val="00034F1F"/>
    <w:rsid w:val="00060783"/>
    <w:rsid w:val="00061F81"/>
    <w:rsid w:val="00062490"/>
    <w:rsid w:val="00075EF6"/>
    <w:rsid w:val="000858E2"/>
    <w:rsid w:val="000C5EB4"/>
    <w:rsid w:val="000D2068"/>
    <w:rsid w:val="00101419"/>
    <w:rsid w:val="0012590A"/>
    <w:rsid w:val="001923BE"/>
    <w:rsid w:val="00195093"/>
    <w:rsid w:val="001A1581"/>
    <w:rsid w:val="001B227F"/>
    <w:rsid w:val="0020035B"/>
    <w:rsid w:val="0021589F"/>
    <w:rsid w:val="002303E5"/>
    <w:rsid w:val="00235A94"/>
    <w:rsid w:val="0024226F"/>
    <w:rsid w:val="002640A8"/>
    <w:rsid w:val="00267D86"/>
    <w:rsid w:val="00271903"/>
    <w:rsid w:val="00277A3A"/>
    <w:rsid w:val="00281E96"/>
    <w:rsid w:val="002854AE"/>
    <w:rsid w:val="002916EC"/>
    <w:rsid w:val="00293C33"/>
    <w:rsid w:val="002B0409"/>
    <w:rsid w:val="002B5E76"/>
    <w:rsid w:val="002C4D4C"/>
    <w:rsid w:val="002D6392"/>
    <w:rsid w:val="002E4FB7"/>
    <w:rsid w:val="00310AAB"/>
    <w:rsid w:val="00317C02"/>
    <w:rsid w:val="00337BB1"/>
    <w:rsid w:val="003C429A"/>
    <w:rsid w:val="003D2019"/>
    <w:rsid w:val="003E1AAC"/>
    <w:rsid w:val="003F2441"/>
    <w:rsid w:val="004135C7"/>
    <w:rsid w:val="00417985"/>
    <w:rsid w:val="00422C08"/>
    <w:rsid w:val="00425516"/>
    <w:rsid w:val="00445EFD"/>
    <w:rsid w:val="00450F65"/>
    <w:rsid w:val="00473DC3"/>
    <w:rsid w:val="0048423D"/>
    <w:rsid w:val="004D3022"/>
    <w:rsid w:val="004D73C5"/>
    <w:rsid w:val="0050254C"/>
    <w:rsid w:val="00526C45"/>
    <w:rsid w:val="00532B71"/>
    <w:rsid w:val="005433E6"/>
    <w:rsid w:val="00554195"/>
    <w:rsid w:val="00556182"/>
    <w:rsid w:val="005579AB"/>
    <w:rsid w:val="00567A72"/>
    <w:rsid w:val="0058144D"/>
    <w:rsid w:val="005905E3"/>
    <w:rsid w:val="005A1C67"/>
    <w:rsid w:val="005A3D5E"/>
    <w:rsid w:val="005E3F33"/>
    <w:rsid w:val="005E4E4D"/>
    <w:rsid w:val="005F0EE9"/>
    <w:rsid w:val="006001D6"/>
    <w:rsid w:val="0064232D"/>
    <w:rsid w:val="006C5540"/>
    <w:rsid w:val="006E07A4"/>
    <w:rsid w:val="006E60B3"/>
    <w:rsid w:val="00702A60"/>
    <w:rsid w:val="00706984"/>
    <w:rsid w:val="007170E3"/>
    <w:rsid w:val="007205E7"/>
    <w:rsid w:val="00722D25"/>
    <w:rsid w:val="0073534B"/>
    <w:rsid w:val="00740B92"/>
    <w:rsid w:val="00753608"/>
    <w:rsid w:val="00755FBC"/>
    <w:rsid w:val="007A3A5D"/>
    <w:rsid w:val="007B56C0"/>
    <w:rsid w:val="007E190A"/>
    <w:rsid w:val="00827359"/>
    <w:rsid w:val="00873070"/>
    <w:rsid w:val="009020C2"/>
    <w:rsid w:val="0091134E"/>
    <w:rsid w:val="00936CDD"/>
    <w:rsid w:val="009375CC"/>
    <w:rsid w:val="009677F8"/>
    <w:rsid w:val="009906CE"/>
    <w:rsid w:val="0099463A"/>
    <w:rsid w:val="009946F2"/>
    <w:rsid w:val="009B0E44"/>
    <w:rsid w:val="00A40A62"/>
    <w:rsid w:val="00A72869"/>
    <w:rsid w:val="00AA4E58"/>
    <w:rsid w:val="00B15E47"/>
    <w:rsid w:val="00B25D13"/>
    <w:rsid w:val="00B27A04"/>
    <w:rsid w:val="00B37CE8"/>
    <w:rsid w:val="00BC2CAE"/>
    <w:rsid w:val="00C0006E"/>
    <w:rsid w:val="00C00DD7"/>
    <w:rsid w:val="00C019E2"/>
    <w:rsid w:val="00C12E4C"/>
    <w:rsid w:val="00C33B94"/>
    <w:rsid w:val="00C40858"/>
    <w:rsid w:val="00C4437E"/>
    <w:rsid w:val="00C6456D"/>
    <w:rsid w:val="00C86F58"/>
    <w:rsid w:val="00C922FC"/>
    <w:rsid w:val="00CB64BD"/>
    <w:rsid w:val="00CD1B8C"/>
    <w:rsid w:val="00D21FBC"/>
    <w:rsid w:val="00D22B6A"/>
    <w:rsid w:val="00D36C1E"/>
    <w:rsid w:val="00D5398F"/>
    <w:rsid w:val="00D8075D"/>
    <w:rsid w:val="00D8690C"/>
    <w:rsid w:val="00DE6147"/>
    <w:rsid w:val="00E247A4"/>
    <w:rsid w:val="00E5453B"/>
    <w:rsid w:val="00E65DA3"/>
    <w:rsid w:val="00E94608"/>
    <w:rsid w:val="00EB5A04"/>
    <w:rsid w:val="00EC4F2A"/>
    <w:rsid w:val="00ED69D3"/>
    <w:rsid w:val="00F9579B"/>
    <w:rsid w:val="00F961CE"/>
    <w:rsid w:val="00FE560C"/>
    <w:rsid w:val="00FF7E02"/>
    <w:rsid w:val="02680801"/>
    <w:rsid w:val="0335709B"/>
    <w:rsid w:val="035420CF"/>
    <w:rsid w:val="07C37A63"/>
    <w:rsid w:val="0A920AA8"/>
    <w:rsid w:val="0B1F76CB"/>
    <w:rsid w:val="0D0F2B21"/>
    <w:rsid w:val="0E2E53D2"/>
    <w:rsid w:val="0F8D339E"/>
    <w:rsid w:val="0FAA3F4D"/>
    <w:rsid w:val="0FDD776B"/>
    <w:rsid w:val="0FDF75D2"/>
    <w:rsid w:val="126316A6"/>
    <w:rsid w:val="14782149"/>
    <w:rsid w:val="14B74FD3"/>
    <w:rsid w:val="15EC6C6C"/>
    <w:rsid w:val="17164549"/>
    <w:rsid w:val="19D11E91"/>
    <w:rsid w:val="1A23154F"/>
    <w:rsid w:val="1E5F7104"/>
    <w:rsid w:val="1E8B5C88"/>
    <w:rsid w:val="22B0777E"/>
    <w:rsid w:val="23C75C2C"/>
    <w:rsid w:val="24C55171"/>
    <w:rsid w:val="25FE39F0"/>
    <w:rsid w:val="282956CA"/>
    <w:rsid w:val="2A7B33EA"/>
    <w:rsid w:val="2ADA3585"/>
    <w:rsid w:val="2C8611B1"/>
    <w:rsid w:val="2C872B7A"/>
    <w:rsid w:val="2D7E3BEA"/>
    <w:rsid w:val="2DF4A957"/>
    <w:rsid w:val="2EC11C17"/>
    <w:rsid w:val="2F087CAC"/>
    <w:rsid w:val="2F635F61"/>
    <w:rsid w:val="3003488D"/>
    <w:rsid w:val="31230D53"/>
    <w:rsid w:val="314A54EC"/>
    <w:rsid w:val="31D548CD"/>
    <w:rsid w:val="33576F89"/>
    <w:rsid w:val="33CE3E7B"/>
    <w:rsid w:val="34E43A25"/>
    <w:rsid w:val="35501771"/>
    <w:rsid w:val="38A65953"/>
    <w:rsid w:val="391E7038"/>
    <w:rsid w:val="3A25022C"/>
    <w:rsid w:val="3A8B4FED"/>
    <w:rsid w:val="3A9D300D"/>
    <w:rsid w:val="3B320432"/>
    <w:rsid w:val="3BB4691D"/>
    <w:rsid w:val="3C016B94"/>
    <w:rsid w:val="3C900B5F"/>
    <w:rsid w:val="3D0D6C8B"/>
    <w:rsid w:val="3E0C4997"/>
    <w:rsid w:val="3EA030BD"/>
    <w:rsid w:val="42D11DF7"/>
    <w:rsid w:val="43CC12FF"/>
    <w:rsid w:val="446370A9"/>
    <w:rsid w:val="44686424"/>
    <w:rsid w:val="44986B38"/>
    <w:rsid w:val="45D901D5"/>
    <w:rsid w:val="49FB7EBE"/>
    <w:rsid w:val="4B3154E1"/>
    <w:rsid w:val="4C7701CD"/>
    <w:rsid w:val="4C817786"/>
    <w:rsid w:val="4D524AEE"/>
    <w:rsid w:val="4F314FBE"/>
    <w:rsid w:val="4F8C01BB"/>
    <w:rsid w:val="50EE3E7E"/>
    <w:rsid w:val="510460CD"/>
    <w:rsid w:val="53B8319F"/>
    <w:rsid w:val="53EB406E"/>
    <w:rsid w:val="54233E4E"/>
    <w:rsid w:val="561055EA"/>
    <w:rsid w:val="58BF2065"/>
    <w:rsid w:val="58EB3C7E"/>
    <w:rsid w:val="59633BAD"/>
    <w:rsid w:val="5B9F77DD"/>
    <w:rsid w:val="5C0929D2"/>
    <w:rsid w:val="5ED96C27"/>
    <w:rsid w:val="5F4069ED"/>
    <w:rsid w:val="60502B65"/>
    <w:rsid w:val="61A11716"/>
    <w:rsid w:val="649365BB"/>
    <w:rsid w:val="6669720C"/>
    <w:rsid w:val="68976E44"/>
    <w:rsid w:val="69D32D1B"/>
    <w:rsid w:val="6C7D608C"/>
    <w:rsid w:val="6C9F2CF6"/>
    <w:rsid w:val="6DA501BA"/>
    <w:rsid w:val="6F576EC3"/>
    <w:rsid w:val="70001CFE"/>
    <w:rsid w:val="70B6708C"/>
    <w:rsid w:val="70EF034E"/>
    <w:rsid w:val="73A255A4"/>
    <w:rsid w:val="755D0BBE"/>
    <w:rsid w:val="76221DE1"/>
    <w:rsid w:val="76E41601"/>
    <w:rsid w:val="7717C855"/>
    <w:rsid w:val="773A11E7"/>
    <w:rsid w:val="79800401"/>
    <w:rsid w:val="7BAB179F"/>
    <w:rsid w:val="7BC2255D"/>
    <w:rsid w:val="7BF70619"/>
    <w:rsid w:val="7C8C54D9"/>
    <w:rsid w:val="7DDB4172"/>
    <w:rsid w:val="7DF3EC3C"/>
    <w:rsid w:val="7FDF5995"/>
    <w:rsid w:val="7FDFE098"/>
    <w:rsid w:val="BF5F704B"/>
    <w:rsid w:val="BFFF9E49"/>
    <w:rsid w:val="DB7F5CE8"/>
    <w:rsid w:val="FBDFE7C2"/>
    <w:rsid w:val="FC77D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1"/>
    <w:link w:val="19"/>
    <w:qFormat/>
    <w:uiPriority w:val="99"/>
    <w:pPr>
      <w:tabs>
        <w:tab w:val="center" w:pos="4153"/>
        <w:tab w:val="right" w:pos="8306"/>
      </w:tabs>
      <w:snapToGrid w:val="0"/>
      <w:jc w:val="left"/>
    </w:pPr>
    <w:rPr>
      <w:sz w:val="18"/>
      <w:szCs w:val="18"/>
    </w:rPr>
  </w:style>
  <w:style w:type="paragraph" w:styleId="5">
    <w:name w:val="toc 3"/>
    <w:basedOn w:val="1"/>
    <w:next w:val="1"/>
    <w:qFormat/>
    <w:uiPriority w:val="0"/>
    <w:pPr>
      <w:ind w:left="840" w:leftChars="400"/>
    </w:pPr>
  </w:style>
  <w:style w:type="paragraph" w:styleId="6">
    <w:name w:val="Document Map"/>
    <w:basedOn w:val="1"/>
    <w:link w:val="18"/>
    <w:qFormat/>
    <w:uiPriority w:val="0"/>
    <w:rPr>
      <w:rFonts w:ascii="宋体"/>
      <w:sz w:val="18"/>
      <w:szCs w:val="18"/>
    </w:rPr>
  </w:style>
  <w:style w:type="paragraph" w:styleId="7">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Balloon Text"/>
    <w:basedOn w:val="1"/>
    <w:semiHidden/>
    <w:qFormat/>
    <w:uiPriority w:val="0"/>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qFormat/>
    <w:uiPriority w:val="0"/>
  </w:style>
  <w:style w:type="character" w:styleId="14">
    <w:name w:val="Hyperlink"/>
    <w:qFormat/>
    <w:uiPriority w:val="0"/>
    <w:rPr>
      <w:color w:val="0000FF"/>
      <w:u w:val="single"/>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rPr>
  </w:style>
  <w:style w:type="paragraph" w:customStyle="1" w:styleId="17">
    <w:name w:val="_Style 11"/>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文档结构图 Char"/>
    <w:link w:val="6"/>
    <w:qFormat/>
    <w:uiPriority w:val="0"/>
    <w:rPr>
      <w:rFonts w:ascii="宋体"/>
      <w:kern w:val="2"/>
      <w:sz w:val="18"/>
      <w:szCs w:val="18"/>
    </w:rPr>
  </w:style>
  <w:style w:type="character" w:customStyle="1" w:styleId="19">
    <w:name w:val="页脚 字符"/>
    <w:link w:val="4"/>
    <w:qFormat/>
    <w:uiPriority w:val="99"/>
    <w:rPr>
      <w:kern w:val="2"/>
      <w:sz w:val="18"/>
      <w:szCs w:val="18"/>
    </w:rPr>
  </w:style>
  <w:style w:type="character" w:customStyle="1" w:styleId="20">
    <w:name w:val="页眉 字符"/>
    <w:link w:val="9"/>
    <w:qFormat/>
    <w:uiPriority w:val="0"/>
    <w:rPr>
      <w:kern w:val="2"/>
      <w:sz w:val="18"/>
      <w:szCs w:val="18"/>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Freesoho</Company>
  <Pages>6</Pages>
  <Words>2665</Words>
  <Characters>2725</Characters>
  <Lines>16</Lines>
  <Paragraphs>4</Paragraphs>
  <TotalTime>3</TotalTime>
  <ScaleCrop>false</ScaleCrop>
  <LinksUpToDate>false</LinksUpToDate>
  <CharactersWithSpaces>2738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2023-09-16T10:48:00Z</dcterms:created>
  <dc:creator>lfq</dc:creator>
  <cp:lastModifiedBy>user</cp:lastModifiedBy>
  <cp:lastPrinted>2025-11-04T10:22:00Z</cp:lastPrinted>
  <dcterms:modified xsi:type="dcterms:W3CDTF">2025-11-05T18:23:01Z</dcterms:modified>
  <dc:title>部门决算分析报告撰写提纲（部门用）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BA74075B1A174F44B623C9C0F4F5812C</vt:lpwstr>
  </property>
  <property fmtid="{D5CDD505-2E9C-101B-9397-08002B2CF9AE}" pid="4" name="KSOTemplateDocerSaveRecord">
    <vt:lpwstr>eyJoZGlkIjoiNzMxMWQxMWI5YWU5YmU2NjQyMTUxYmQxZDUwOTM2OWEiLCJ1c2VySWQiOiIzNDA3MjE5NjAifQ==</vt:lpwstr>
  </property>
</Properties>
</file>