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bookmarkStart w:id="88" w:name="_GoBack"/>
      <w:r>
        <w:rPr>
          <w:rFonts w:hint="eastAsia" w:asciiTheme="majorEastAsia" w:hAnsiTheme="majorEastAsia" w:eastAsiaTheme="majorEastAsia" w:cstheme="majorEastAsia"/>
          <w:b/>
          <w:bCs/>
          <w:color w:val="auto"/>
          <w:sz w:val="44"/>
          <w:szCs w:val="44"/>
        </w:rPr>
        <w:t>墨脱县</w:t>
      </w:r>
      <w:r>
        <w:rPr>
          <w:rFonts w:hint="eastAsia" w:asciiTheme="majorEastAsia" w:hAnsiTheme="majorEastAsia" w:eastAsiaTheme="majorEastAsia" w:cstheme="majorEastAsia"/>
          <w:b/>
          <w:bCs/>
          <w:color w:val="auto"/>
          <w:sz w:val="44"/>
          <w:szCs w:val="44"/>
          <w:lang w:val="en-US" w:eastAsia="zh-CN"/>
        </w:rPr>
        <w:t>加热萨乡小学</w:t>
      </w:r>
      <w:r>
        <w:rPr>
          <w:rFonts w:hint="eastAsia" w:asciiTheme="majorEastAsia" w:hAnsiTheme="majorEastAsia" w:eastAsiaTheme="majorEastAsia" w:cstheme="majorEastAsia"/>
          <w:b/>
          <w:bCs/>
          <w:color w:val="auto"/>
          <w:sz w:val="44"/>
          <w:szCs w:val="44"/>
        </w:rPr>
        <w:t>2024年度部门决算公开</w:t>
      </w:r>
    </w:p>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7"/>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32433_WPSOffice_Level1"/>
      <w:bookmarkStart w:id="3" w:name="_Toc22941_WPSOffice_Level1"/>
      <w:bookmarkStart w:id="4" w:name="_Toc10720_WPSOffice_Level1"/>
      <w:bookmarkStart w:id="5" w:name="_Toc10049_WPSOffice_Level1"/>
      <w:bookmarkStart w:id="6" w:name="_Toc23465_WPSOffice_Level1"/>
      <w:bookmarkStart w:id="7" w:name="_Toc1704_WPSOffice_Level1"/>
      <w:bookmarkStart w:id="8" w:name="_Toc24238_WPSOffice_Level2"/>
      <w:bookmarkStart w:id="9" w:name="_Toc20274_WPSOffice_Level2"/>
      <w:bookmarkStart w:id="10" w:name="_Toc14159_WPSOffice_Level2"/>
      <w:bookmarkStart w:id="11" w:name="_Toc20205_WPSOffice_Level2"/>
      <w:bookmarkStart w:id="12" w:name="_Toc26580_WPSOffice_Level2"/>
      <w:bookmarkStart w:id="13" w:name="_Toc32622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spacing w:line="578" w:lineRule="exact"/>
        <w:ind w:firstLine="640" w:firstLineChars="200"/>
        <w:rPr>
          <w:rFonts w:hint="eastAsia" w:ascii="楷体" w:hAnsi="楷体" w:eastAsia="楷体" w:cs="楷体"/>
          <w:color w:val="auto"/>
          <w:sz w:val="32"/>
          <w:szCs w:val="32"/>
          <w:lang w:eastAsia="zh-CN"/>
        </w:rPr>
      </w:pPr>
      <w:r>
        <w:rPr>
          <w:rFonts w:hint="eastAsia" w:ascii="黑体" w:hAnsi="黑体" w:eastAsia="黑体" w:cs="黑体"/>
          <w:color w:val="auto"/>
          <w:sz w:val="32"/>
          <w:szCs w:val="32"/>
        </w:rPr>
        <w:t>一、部门</w:t>
      </w:r>
      <w:bookmarkEnd w:id="8"/>
      <w:r>
        <w:rPr>
          <w:rFonts w:hint="eastAsia" w:ascii="黑体" w:hAnsi="黑体" w:eastAsia="黑体" w:cs="黑体"/>
          <w:color w:val="auto"/>
          <w:sz w:val="32"/>
          <w:szCs w:val="32"/>
        </w:rPr>
        <w:t>（单位）职责</w:t>
      </w:r>
      <w:bookmarkEnd w:id="9"/>
      <w:bookmarkEnd w:id="10"/>
      <w:bookmarkEnd w:id="11"/>
      <w:bookmarkEnd w:id="12"/>
      <w:bookmarkEnd w:id="13"/>
      <w:bookmarkStart w:id="14" w:name="_Toc24059_WPSOffice_Level2"/>
      <w:bookmarkStart w:id="15" w:name="_Toc24474_WPSOffice_Level2"/>
      <w:bookmarkStart w:id="16" w:name="_Toc17796_WPSOffice_Level2"/>
      <w:bookmarkStart w:id="17" w:name="_Toc4833_WPSOffice_Level2"/>
      <w:bookmarkStart w:id="18" w:name="_Toc6572_WPSOffice_Level2"/>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1.认真贯彻落实党和国家的方针、政策，正确执行上级主管部门的决议和指示，全面实施素质教育，培养德、智、体、美等方面全面发展的社会主义事业的建设者和接班人。</w:t>
      </w:r>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2.做好基础教育，负责实施义务教育文化，素质教育。</w:t>
      </w:r>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3.根据教育规律、组织制定学校发展的远景规划、近期目标、学年和学期各项工作计划以及工作指标并组织实施。</w:t>
      </w:r>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4.制定和健全各项规章制度，规范办学行为，培养良好校风，逐步实现管理决策的科学化，管理方法的定量化和管理手段的现代化。</w:t>
      </w:r>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5.负责教师队伍建设工作，决定校内教职工的工作安排，组织对教职工进行考核、实施奖惩。</w:t>
      </w:r>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6.领导和组织学校的思想政治工作，把德育工作放在首位。</w:t>
      </w:r>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7.研究思想政治工作的要求、内容、方法和规律，不断加强学生的思想政治、法律纪律和道德品质教育以及做好管理工作。</w:t>
      </w:r>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8.教育全体职工做到教书育人、管理育人、服务育人、搞好学校、社会、家庭三结合教育。</w:t>
      </w:r>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9.加强对财务工作的领导，正确使用各项经费，不断改善办学条件，强化安全工作管理，创造良好的育人环境。</w:t>
      </w:r>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10.加强与党支部的合作，主动接受学校党组织的监督，搞好领导班子的团结和协作。</w:t>
      </w:r>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11.依靠群众办学，实行民主管理和民主监督，定期向家长报告工作，充分发挥家长参与学校民主管理和民主监督的作用。</w:t>
      </w:r>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12.主持学校与学生家长及社会的联系工作和外来工作，搞好校际间的交往，做好与社会各界的联系工作，争取各方面力量对学校的支持。</w:t>
      </w:r>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13.组织教师的业务学习，制定教师进修规划，定期检查执行情况，做好师资力量的安排和调整工作。</w:t>
      </w:r>
    </w:p>
    <w:p>
      <w:p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auto"/>
          <w:sz w:val="32"/>
          <w:szCs w:val="32"/>
          <w:lang w:eastAsia="zh-CN"/>
        </w:rPr>
      </w:pPr>
      <w:bookmarkStart w:id="19" w:name="_Toc30690_WPSOffice_Level1"/>
      <w:bookmarkStart w:id="20" w:name="_Toc30451_WPSOffice_Level1"/>
      <w:bookmarkStart w:id="21" w:name="_Toc15521_WPSOffice_Level1"/>
      <w:bookmarkStart w:id="22" w:name="_Toc28253_WPSOffice_Level1"/>
      <w:bookmarkStart w:id="23" w:name="_Toc6234_WPSOffice_Level1"/>
      <w:bookmarkStart w:id="24" w:name="_Toc8164_WPSOffice_Level1"/>
      <w:bookmarkStart w:id="25" w:name="_Toc4029_WPSOffice_Level2"/>
      <w:bookmarkStart w:id="26" w:name="_Toc11518_WPSOffice_Level2"/>
      <w:bookmarkStart w:id="27" w:name="_Toc32695_WPSOffice_Level2"/>
      <w:bookmarkStart w:id="28" w:name="_Toc8867_WPSOffice_Level2"/>
      <w:bookmarkStart w:id="29" w:name="_Toc6211_WPSOffice_Level2"/>
      <w:bookmarkStart w:id="30" w:name="_Toc32472_WPSOffice_Level2"/>
      <w:r>
        <w:rPr>
          <w:rFonts w:hint="eastAsia" w:ascii="仿宋_GB2312" w:hAnsi="ˎ̥" w:eastAsia="仿宋_GB2312"/>
          <w:color w:val="auto"/>
          <w:sz w:val="32"/>
          <w:szCs w:val="32"/>
          <w:lang w:eastAsia="zh-CN"/>
        </w:rPr>
        <w:t>加热萨乡小学设有校办、总务处、教务处、德育处、教研室、少队。</w:t>
      </w:r>
    </w:p>
    <w:p>
      <w:pPr>
        <w:spacing w:line="578" w:lineRule="exact"/>
        <w:ind w:firstLine="640" w:firstLineChars="200"/>
        <w:rPr>
          <w:rFonts w:hint="eastAsia" w:ascii="仿宋_GB2312" w:hAnsi="ˎ̥" w:eastAsia="仿宋_GB2312"/>
          <w:color w:val="auto"/>
          <w:sz w:val="32"/>
          <w:szCs w:val="32"/>
          <w:lang w:eastAsia="zh-CN"/>
        </w:rPr>
      </w:pPr>
    </w:p>
    <w:p>
      <w:pPr>
        <w:spacing w:line="578" w:lineRule="exact"/>
        <w:ind w:firstLine="640" w:firstLineChars="200"/>
        <w:rPr>
          <w:rFonts w:hint="eastAsia" w:ascii="仿宋_GB2312" w:hAnsi="ˎ̥" w:eastAsia="仿宋_GB2312"/>
          <w:color w:val="auto"/>
          <w:sz w:val="32"/>
          <w:szCs w:val="32"/>
          <w:lang w:eastAsia="zh-CN"/>
        </w:rPr>
      </w:pPr>
    </w:p>
    <w:p>
      <w:pPr>
        <w:numPr>
          <w:ilvl w:val="0"/>
          <w:numId w:val="2"/>
        </w:numPr>
        <w:spacing w:line="578" w:lineRule="exact"/>
        <w:jc w:val="center"/>
        <w:rPr>
          <w:rFonts w:hint="eastAsia" w:ascii="黑体" w:hAnsi="ˎ̥" w:eastAsia="黑体"/>
          <w:color w:val="auto"/>
          <w:sz w:val="32"/>
          <w:szCs w:val="32"/>
        </w:rPr>
        <w:sectPr>
          <w:footerReference r:id="rId3" w:type="default"/>
          <w:footerReference r:id="rId4" w:type="even"/>
          <w:pgSz w:w="11906" w:h="16838"/>
          <w:pgMar w:top="2098" w:right="1474" w:bottom="1984" w:left="1587" w:header="851" w:footer="992" w:gutter="0"/>
          <w:cols w:space="720" w:num="1"/>
          <w:docGrid w:type="lines" w:linePitch="312" w:charSpace="0"/>
        </w:sectPr>
      </w:pPr>
      <w:r>
        <w:rPr>
          <w:rFonts w:hint="eastAsia" w:ascii="黑体" w:hAnsi="ˎ̥" w:eastAsia="黑体"/>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bookmarkEnd w:id="25"/>
    <w:bookmarkEnd w:id="26"/>
    <w:bookmarkEnd w:id="27"/>
    <w:bookmarkEnd w:id="28"/>
    <w:bookmarkEnd w:id="29"/>
    <w:bookmarkEnd w:id="30"/>
    <w:tbl>
      <w:tblPr>
        <w:tblStyle w:val="9"/>
        <w:tblW w:w="125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53"/>
        <w:gridCol w:w="1053"/>
        <w:gridCol w:w="885"/>
        <w:gridCol w:w="420"/>
        <w:gridCol w:w="1053"/>
        <w:gridCol w:w="1634"/>
        <w:gridCol w:w="991"/>
        <w:gridCol w:w="300"/>
        <w:gridCol w:w="465"/>
        <w:gridCol w:w="1574"/>
        <w:gridCol w:w="1050"/>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53"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bookmarkStart w:id="31" w:name="_Toc14349_WPSOffice_Level2"/>
            <w:bookmarkStart w:id="32" w:name="_Toc26621_WPSOffice_Level2"/>
            <w:bookmarkStart w:id="33" w:name="_Toc28622_WPSOffice_Level2"/>
            <w:bookmarkStart w:id="34" w:name="_Toc25608_WPSOffice_Level2"/>
            <w:bookmarkStart w:id="35" w:name="_Toc30334_WPSOffice_Level2"/>
            <w:bookmarkStart w:id="36" w:name="_Toc23139_WPSOffice_Level2"/>
            <w:r>
              <w:rPr>
                <w:rFonts w:hint="eastAsia" w:ascii="宋体" w:hAnsi="宋体" w:eastAsia="宋体" w:cs="宋体"/>
                <w:b/>
                <w:i w:val="0"/>
                <w:color w:val="000000"/>
                <w:kern w:val="0"/>
                <w:sz w:val="20"/>
                <w:szCs w:val="20"/>
                <w:u w:val="none"/>
                <w:lang w:val="en-US" w:eastAsia="zh-CN" w:bidi="ar"/>
              </w:rPr>
              <w:t>附件1-1</w:t>
            </w:r>
          </w:p>
        </w:tc>
        <w:tc>
          <w:tcPr>
            <w:tcW w:w="1053"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3"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34"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1"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00"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5"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74"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15"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12593"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0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8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3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0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6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7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1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6098"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部门(单位)：墨脱县加热萨小学</w:t>
            </w:r>
          </w:p>
        </w:tc>
        <w:tc>
          <w:tcPr>
            <w:tcW w:w="99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00"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465"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1574"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1050"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211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609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64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438.11</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439.49</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使用非财政拨款结余（含专用结余）</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411"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0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63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439.49</w:t>
            </w:r>
          </w:p>
        </w:tc>
        <w:tc>
          <w:tcPr>
            <w:tcW w:w="3330"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21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593" w:type="dxa"/>
            <w:gridSpan w:val="12"/>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注：1.本表反映部门（单位）本年度的总收支和年末结转结余情况。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2593" w:type="dxa"/>
            <w:gridSpan w:val="12"/>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tbl>
      <w:tblPr>
        <w:tblStyle w:val="9"/>
        <w:tblW w:w="526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15"/>
        <w:gridCol w:w="340"/>
        <w:gridCol w:w="404"/>
        <w:gridCol w:w="2744"/>
        <w:gridCol w:w="1395"/>
        <w:gridCol w:w="1460"/>
        <w:gridCol w:w="1393"/>
        <w:gridCol w:w="1000"/>
        <w:gridCol w:w="1352"/>
        <w:gridCol w:w="1725"/>
        <w:gridCol w:w="1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92"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附件1-2</w:t>
            </w:r>
          </w:p>
        </w:tc>
        <w:tc>
          <w:tcPr>
            <w:tcW w:w="10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4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7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0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9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4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7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0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99"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928"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部门(单位)：墨脱县加热萨小学</w:t>
            </w:r>
          </w:p>
        </w:tc>
        <w:tc>
          <w:tcPr>
            <w:tcW w:w="1058"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71"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01"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64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99"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9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10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财政拨款收入</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上级补助收入</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事业收入</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经营收入</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附属单位上缴收入</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9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4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439.49</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439.49</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9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349.58</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349.58</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9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349.58</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349.58</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9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12.48</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12.48</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9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337.10</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337.10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9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32.36</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32.36</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9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32.36</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32.36</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9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32.36</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32.36</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9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15.57</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15.57</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9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15.57</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15.57</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9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15.57</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15.57</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9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40.59</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40.59</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9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40.59</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40.59</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9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25.63</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25.63</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9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14.97</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14.97</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9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9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22960</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彩票公益金安排的支出</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92"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2296004</w:t>
            </w:r>
          </w:p>
        </w:tc>
        <w:tc>
          <w:tcPr>
            <w:tcW w:w="1018"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用于教育事业的彩票公益金支出</w:t>
            </w:r>
          </w:p>
        </w:tc>
        <w:tc>
          <w:tcPr>
            <w:tcW w:w="517"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541"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516"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1"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1"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0"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9"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注：本表反映部门（单位）本年度取得的各项收入情况。</w:t>
            </w:r>
          </w:p>
        </w:tc>
      </w:tr>
    </w:tbl>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tbl>
      <w:tblPr>
        <w:tblStyle w:val="9"/>
        <w:tblW w:w="139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52"/>
        <w:gridCol w:w="156"/>
        <w:gridCol w:w="75"/>
        <w:gridCol w:w="343"/>
        <w:gridCol w:w="38"/>
        <w:gridCol w:w="46"/>
        <w:gridCol w:w="434"/>
        <w:gridCol w:w="477"/>
        <w:gridCol w:w="515"/>
        <w:gridCol w:w="187"/>
        <w:gridCol w:w="164"/>
        <w:gridCol w:w="441"/>
        <w:gridCol w:w="152"/>
        <w:gridCol w:w="657"/>
        <w:gridCol w:w="399"/>
        <w:gridCol w:w="248"/>
        <w:gridCol w:w="82"/>
        <w:gridCol w:w="581"/>
        <w:gridCol w:w="264"/>
        <w:gridCol w:w="573"/>
        <w:gridCol w:w="79"/>
        <w:gridCol w:w="157"/>
        <w:gridCol w:w="349"/>
        <w:gridCol w:w="334"/>
        <w:gridCol w:w="60"/>
        <w:gridCol w:w="506"/>
        <w:gridCol w:w="73"/>
        <w:gridCol w:w="149"/>
        <w:gridCol w:w="765"/>
        <w:gridCol w:w="258"/>
        <w:gridCol w:w="81"/>
        <w:gridCol w:w="245"/>
        <w:gridCol w:w="658"/>
        <w:gridCol w:w="370"/>
        <w:gridCol w:w="161"/>
        <w:gridCol w:w="331"/>
        <w:gridCol w:w="1064"/>
        <w:gridCol w:w="119"/>
        <w:gridCol w:w="191"/>
        <w:gridCol w:w="1202"/>
        <w:gridCol w:w="527"/>
        <w:gridCol w:w="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4"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附件1-3</w:t>
            </w:r>
          </w:p>
        </w:tc>
        <w:tc>
          <w:tcPr>
            <w:tcW w:w="324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500"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485"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245"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515"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395"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2208"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 w:hRule="atLeast"/>
        </w:trPr>
        <w:tc>
          <w:tcPr>
            <w:tcW w:w="13932" w:type="dxa"/>
            <w:gridSpan w:val="4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408"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456"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48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324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500"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485"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245"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515"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395"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2208"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6084" w:type="dxa"/>
            <w:gridSpan w:val="2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部门(单位)：墨脱县加热萨小学</w:t>
            </w:r>
          </w:p>
        </w:tc>
        <w:tc>
          <w:tcPr>
            <w:tcW w:w="1485"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1245"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0"/>
                <w:szCs w:val="20"/>
                <w:u w:val="none"/>
              </w:rPr>
            </w:pPr>
          </w:p>
        </w:tc>
        <w:tc>
          <w:tcPr>
            <w:tcW w:w="1515"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i w:val="0"/>
                <w:color w:val="000000"/>
                <w:sz w:val="20"/>
                <w:szCs w:val="20"/>
                <w:u w:val="none"/>
              </w:rPr>
            </w:pPr>
          </w:p>
        </w:tc>
        <w:tc>
          <w:tcPr>
            <w:tcW w:w="139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i w:val="0"/>
                <w:color w:val="000000"/>
                <w:sz w:val="20"/>
                <w:szCs w:val="20"/>
                <w:u w:val="none"/>
              </w:rPr>
            </w:pPr>
          </w:p>
        </w:tc>
        <w:tc>
          <w:tcPr>
            <w:tcW w:w="2208"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4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324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5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148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124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151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上缴上级支出</w:t>
            </w:r>
          </w:p>
        </w:tc>
        <w:tc>
          <w:tcPr>
            <w:tcW w:w="13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经营支出</w:t>
            </w:r>
          </w:p>
        </w:tc>
        <w:tc>
          <w:tcPr>
            <w:tcW w:w="220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34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24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4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20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408"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456"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48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32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4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220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408"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56"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24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439.49</w:t>
            </w:r>
          </w:p>
        </w:tc>
        <w:tc>
          <w:tcPr>
            <w:tcW w:w="14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373.12</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66.37</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0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324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349.58</w:t>
            </w:r>
          </w:p>
        </w:tc>
        <w:tc>
          <w:tcPr>
            <w:tcW w:w="148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284.59</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64.99</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324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349.58</w:t>
            </w:r>
          </w:p>
        </w:tc>
        <w:tc>
          <w:tcPr>
            <w:tcW w:w="148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284.59</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64.99</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324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12.48</w:t>
            </w:r>
          </w:p>
        </w:tc>
        <w:tc>
          <w:tcPr>
            <w:tcW w:w="148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9.84</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324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337.10</w:t>
            </w:r>
          </w:p>
        </w:tc>
        <w:tc>
          <w:tcPr>
            <w:tcW w:w="148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281.95</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55.16</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324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32.36</w:t>
            </w:r>
          </w:p>
        </w:tc>
        <w:tc>
          <w:tcPr>
            <w:tcW w:w="148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32.36</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324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32.36</w:t>
            </w:r>
          </w:p>
        </w:tc>
        <w:tc>
          <w:tcPr>
            <w:tcW w:w="148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32.36</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324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32.36</w:t>
            </w:r>
          </w:p>
        </w:tc>
        <w:tc>
          <w:tcPr>
            <w:tcW w:w="148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32.36</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24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15.57</w:t>
            </w:r>
          </w:p>
        </w:tc>
        <w:tc>
          <w:tcPr>
            <w:tcW w:w="148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15.57</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324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15.57</w:t>
            </w:r>
          </w:p>
        </w:tc>
        <w:tc>
          <w:tcPr>
            <w:tcW w:w="148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15.57</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324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15.57</w:t>
            </w:r>
          </w:p>
        </w:tc>
        <w:tc>
          <w:tcPr>
            <w:tcW w:w="148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15.57</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324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40.59</w:t>
            </w:r>
          </w:p>
        </w:tc>
        <w:tc>
          <w:tcPr>
            <w:tcW w:w="148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40.59</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324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40.59</w:t>
            </w:r>
          </w:p>
        </w:tc>
        <w:tc>
          <w:tcPr>
            <w:tcW w:w="148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40.59</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324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25.63</w:t>
            </w:r>
          </w:p>
        </w:tc>
        <w:tc>
          <w:tcPr>
            <w:tcW w:w="148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25.63</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324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14.97</w:t>
            </w:r>
          </w:p>
        </w:tc>
        <w:tc>
          <w:tcPr>
            <w:tcW w:w="148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14.97</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324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148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22960</w:t>
            </w:r>
          </w:p>
        </w:tc>
        <w:tc>
          <w:tcPr>
            <w:tcW w:w="324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彩票公益金安排的支出</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148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344"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2296004</w:t>
            </w:r>
          </w:p>
        </w:tc>
        <w:tc>
          <w:tcPr>
            <w:tcW w:w="3240" w:type="dxa"/>
            <w:gridSpan w:val="9"/>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用于教育事业的彩票公益金支出</w:t>
            </w:r>
          </w:p>
        </w:tc>
        <w:tc>
          <w:tcPr>
            <w:tcW w:w="1500" w:type="dxa"/>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485" w:type="dxa"/>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45" w:type="dxa"/>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515" w:type="dxa"/>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08" w:type="dxa"/>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3932" w:type="dxa"/>
            <w:gridSpan w:val="4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注：本表反映部门（单位）本年度取得的各项支出情况。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696" w:type="dxa"/>
          <w:trHeight w:val="420" w:hRule="atLeast"/>
        </w:trPr>
        <w:tc>
          <w:tcPr>
            <w:tcW w:w="91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附件1-4</w:t>
            </w:r>
          </w:p>
        </w:tc>
        <w:tc>
          <w:tcPr>
            <w:tcW w:w="911"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2"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3"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6"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1"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6"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6"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4"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8"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4"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73"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75" w:type="dxa"/>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3"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488" w:hRule="atLeast"/>
        </w:trPr>
        <w:tc>
          <w:tcPr>
            <w:tcW w:w="13236" w:type="dxa"/>
            <w:gridSpan w:val="4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288" w:hRule="atLeast"/>
        </w:trPr>
        <w:tc>
          <w:tcPr>
            <w:tcW w:w="910" w:type="dxa"/>
            <w:gridSpan w:val="6"/>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1"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2"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3"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6"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1"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6"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6"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4"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8"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4"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73"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75" w:type="dxa"/>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3"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288" w:hRule="atLeast"/>
        </w:trPr>
        <w:tc>
          <w:tcPr>
            <w:tcW w:w="6163" w:type="dxa"/>
            <w:gridSpan w:val="21"/>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部门(单位)：墨脱县加热萨小学</w:t>
            </w:r>
          </w:p>
        </w:tc>
        <w:tc>
          <w:tcPr>
            <w:tcW w:w="900"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728" w:type="dxa"/>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1104" w:type="dxa"/>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1273" w:type="dxa"/>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1675" w:type="dxa"/>
            <w:gridSpan w:val="4"/>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1393"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4336"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890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640"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59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1056"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一般公共预算财政拨款</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政府性基金预算财政拨款</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438.11</w:t>
            </w: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w:t>
            </w: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349.58</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349.58</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32.36</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32.36</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15.57</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15.57</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40.59</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40.59</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439.49</w:t>
            </w: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439.49</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438.11</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323" w:hRule="atLeast"/>
        </w:trPr>
        <w:tc>
          <w:tcPr>
            <w:tcW w:w="26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439.49</w:t>
            </w:r>
          </w:p>
        </w:tc>
        <w:tc>
          <w:tcPr>
            <w:tcW w:w="272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439.49</w:t>
            </w:r>
          </w:p>
        </w:tc>
        <w:tc>
          <w:tcPr>
            <w:tcW w:w="1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438.11</w:t>
            </w:r>
          </w:p>
        </w:tc>
        <w:tc>
          <w:tcPr>
            <w:tcW w:w="16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696" w:type="dxa"/>
          <w:trHeight w:val="480" w:hRule="atLeast"/>
        </w:trPr>
        <w:tc>
          <w:tcPr>
            <w:tcW w:w="13236" w:type="dxa"/>
            <w:gridSpan w:val="4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注：本表反映部门（单位）本年度一般公共预算财政拨款、政府性基金预算财政拨款和国有资本经营预算财政拨款的总收支和年末结转结余情况。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69" w:type="dxa"/>
          <w:trHeight w:val="380" w:hRule="atLeast"/>
        </w:trPr>
        <w:tc>
          <w:tcPr>
            <w:tcW w:w="826"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附件1-5</w:t>
            </w:r>
          </w:p>
        </w:tc>
        <w:tc>
          <w:tcPr>
            <w:tcW w:w="1510" w:type="dxa"/>
            <w:gridSpan w:val="5"/>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2"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09"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9"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5"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09"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83"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9"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4"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4"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62"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74"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29"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348" w:hRule="atLeast"/>
        </w:trPr>
        <w:tc>
          <w:tcPr>
            <w:tcW w:w="13763" w:type="dxa"/>
            <w:gridSpan w:val="4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69" w:type="dxa"/>
          <w:trHeight w:val="288" w:hRule="atLeast"/>
        </w:trPr>
        <w:tc>
          <w:tcPr>
            <w:tcW w:w="25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1"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0" w:type="dxa"/>
            <w:gridSpan w:val="5"/>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2"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09"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9"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5"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09"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83"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39"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4"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4"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62"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74"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29"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6320" w:type="dxa"/>
            <w:gridSpan w:val="2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部门(单位)：墨脱县加热萨小学</w:t>
            </w:r>
          </w:p>
        </w:tc>
        <w:tc>
          <w:tcPr>
            <w:tcW w:w="1322"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914"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4"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62"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74"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29"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8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151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33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233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2137"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4623"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8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1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8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7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8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8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6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63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9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86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310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8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1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2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2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3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7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5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438.11</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373.12</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64.99</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438.11</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373.12</w:t>
            </w:r>
          </w:p>
        </w:tc>
        <w:tc>
          <w:tcPr>
            <w:tcW w:w="5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64.99</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349.58</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284.59</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64.99</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349.58</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284.59</w:t>
            </w:r>
          </w:p>
        </w:tc>
        <w:tc>
          <w:tcPr>
            <w:tcW w:w="5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64.99</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349.58</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284.59</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64.99</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349.58</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284.59</w:t>
            </w:r>
          </w:p>
        </w:tc>
        <w:tc>
          <w:tcPr>
            <w:tcW w:w="5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64.99</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12.48</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9.84</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12.48</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w:t>
            </w:r>
          </w:p>
        </w:tc>
        <w:tc>
          <w:tcPr>
            <w:tcW w:w="5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9.84</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337.10</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281.95</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55.16</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337.10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281.95</w:t>
            </w:r>
          </w:p>
        </w:tc>
        <w:tc>
          <w:tcPr>
            <w:tcW w:w="5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55.16</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32.36</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32.36</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32.36</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32.36</w:t>
            </w:r>
          </w:p>
        </w:tc>
        <w:tc>
          <w:tcPr>
            <w:tcW w:w="5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32.36</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32.36</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32.36</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32.36</w:t>
            </w:r>
          </w:p>
        </w:tc>
        <w:tc>
          <w:tcPr>
            <w:tcW w:w="5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32.36</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32.36</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32.36</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32.36</w:t>
            </w:r>
          </w:p>
        </w:tc>
        <w:tc>
          <w:tcPr>
            <w:tcW w:w="5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15.57</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15.57</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15.57</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15.57</w:t>
            </w:r>
          </w:p>
        </w:tc>
        <w:tc>
          <w:tcPr>
            <w:tcW w:w="5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15.57</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15.57</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15.57</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15.57</w:t>
            </w:r>
          </w:p>
        </w:tc>
        <w:tc>
          <w:tcPr>
            <w:tcW w:w="5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15.57</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15.57</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15.57</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15.57</w:t>
            </w:r>
          </w:p>
        </w:tc>
        <w:tc>
          <w:tcPr>
            <w:tcW w:w="5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40.59</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40.59</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40.59</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40.59</w:t>
            </w:r>
          </w:p>
        </w:tc>
        <w:tc>
          <w:tcPr>
            <w:tcW w:w="5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40.59</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40.59</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40.59</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40.59</w:t>
            </w:r>
          </w:p>
        </w:tc>
        <w:tc>
          <w:tcPr>
            <w:tcW w:w="5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25.63</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25.63</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25.63</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25.63</w:t>
            </w:r>
          </w:p>
        </w:tc>
        <w:tc>
          <w:tcPr>
            <w:tcW w:w="5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15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14.97</w:t>
            </w:r>
          </w:p>
        </w:tc>
        <w:tc>
          <w:tcPr>
            <w:tcW w:w="8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14.97</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14.97</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14.97</w:t>
            </w:r>
          </w:p>
        </w:tc>
        <w:tc>
          <w:tcPr>
            <w:tcW w:w="5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9" w:type="dxa"/>
          <w:trHeight w:val="288" w:hRule="atLeast"/>
        </w:trPr>
        <w:tc>
          <w:tcPr>
            <w:tcW w:w="13763" w:type="dxa"/>
            <w:gridSpan w:val="41"/>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注：本表反映部门（单位）本年度一般公共预算财政拨款收入支出情况。</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tbl>
      <w:tblPr>
        <w:tblStyle w:val="9"/>
        <w:tblW w:w="515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13"/>
        <w:gridCol w:w="1725"/>
        <w:gridCol w:w="525"/>
        <w:gridCol w:w="750"/>
        <w:gridCol w:w="1005"/>
        <w:gridCol w:w="1575"/>
        <w:gridCol w:w="645"/>
        <w:gridCol w:w="825"/>
        <w:gridCol w:w="1095"/>
        <w:gridCol w:w="2145"/>
        <w:gridCol w:w="48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8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附件1-6</w:t>
            </w:r>
          </w:p>
        </w:tc>
        <w:tc>
          <w:tcPr>
            <w:tcW w:w="65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一般公共预算财政拨款基本支出决算公开表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83"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653"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98"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284"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380"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596"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244"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312"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414"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812"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81"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534"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1901"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部门(单位)：墨脱县加热萨小学</w:t>
            </w:r>
          </w:p>
        </w:tc>
        <w:tc>
          <w:tcPr>
            <w:tcW w:w="596"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2024年度</w:t>
            </w:r>
          </w:p>
        </w:tc>
        <w:tc>
          <w:tcPr>
            <w:tcW w:w="24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1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4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81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8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534"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6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5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4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81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8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1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8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353.75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17.57</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0.08</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0.27</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39909</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39910</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0.48</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3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353.75</w:t>
            </w:r>
          </w:p>
        </w:tc>
        <w:tc>
          <w:tcPr>
            <w:tcW w:w="2762"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注：本表反映部门（单位）本年度一般公共预算财政拨款基本支出明细情况。</w:t>
            </w:r>
          </w:p>
        </w:tc>
      </w:tr>
    </w:tbl>
    <w:p>
      <w:pPr>
        <w:tabs>
          <w:tab w:val="left" w:pos="454"/>
        </w:tabs>
        <w:bidi w:val="0"/>
        <w:jc w:val="left"/>
        <w:rPr>
          <w:rFonts w:hint="eastAsia"/>
          <w:color w:val="auto"/>
          <w:lang w:val="en-US" w:eastAsia="zh-CN"/>
        </w:rPr>
      </w:pPr>
    </w:p>
    <w:tbl>
      <w:tblPr>
        <w:tblStyle w:val="9"/>
        <w:tblW w:w="51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56"/>
        <w:gridCol w:w="231"/>
        <w:gridCol w:w="309"/>
        <w:gridCol w:w="1156"/>
        <w:gridCol w:w="511"/>
        <w:gridCol w:w="593"/>
        <w:gridCol w:w="977"/>
        <w:gridCol w:w="539"/>
        <w:gridCol w:w="835"/>
        <w:gridCol w:w="835"/>
        <w:gridCol w:w="563"/>
        <w:gridCol w:w="834"/>
        <w:gridCol w:w="840"/>
        <w:gridCol w:w="473"/>
        <w:gridCol w:w="1392"/>
        <w:gridCol w:w="1387"/>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01"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附件1-7</w:t>
            </w:r>
          </w:p>
        </w:tc>
        <w:tc>
          <w:tcPr>
            <w:tcW w:w="43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5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3915" w:type="pct"/>
            <w:gridSpan w:val="1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政府性基金预算财政拨款收入支出决算公开表</w:t>
            </w:r>
          </w:p>
        </w:tc>
        <w:tc>
          <w:tcPr>
            <w:tcW w:w="5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5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9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8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1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9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2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6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0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1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7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2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59"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528"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部门(单位)：墨脱县加热萨小学</w:t>
            </w:r>
          </w:p>
        </w:tc>
        <w:tc>
          <w:tcPr>
            <w:tcW w:w="5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1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1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2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59"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43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788"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836"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846"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788" w:type="pct"/>
            <w:gridSpan w:val="4"/>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9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17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1084" w:type="pct"/>
            <w:gridSpan w:val="2"/>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9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7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97"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87"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16"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94" w:type="pct"/>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524" w:type="pct"/>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525" w:type="pct"/>
            <w:tcBorders>
              <w:top w:val="nil"/>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559" w:type="pct"/>
            <w:tcBorders>
              <w:top w:val="nil"/>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9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6"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8"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31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21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17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22960</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彩票公益金安排的支出</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2296004</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用于教育事业的彩票公益金支出</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7"/>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注：本表反映部门（单位）本年度政府性基金预算财政拨款收入支出情况。</w:t>
            </w:r>
          </w:p>
        </w:tc>
      </w:tr>
    </w:tbl>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tbl>
      <w:tblPr>
        <w:tblStyle w:val="9"/>
        <w:tblW w:w="132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56"/>
        <w:gridCol w:w="480"/>
        <w:gridCol w:w="408"/>
        <w:gridCol w:w="1275"/>
        <w:gridCol w:w="1679"/>
        <w:gridCol w:w="1288"/>
        <w:gridCol w:w="1187"/>
        <w:gridCol w:w="1305"/>
        <w:gridCol w:w="1020"/>
        <w:gridCol w:w="1170"/>
        <w:gridCol w:w="105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344"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附件1-8</w:t>
            </w:r>
          </w:p>
        </w:tc>
        <w:tc>
          <w:tcPr>
            <w:tcW w:w="12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7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28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8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0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2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7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89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13208"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国有资本经营预算财政拨款收入支出决算公开表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5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8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0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27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679"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28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187"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3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2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17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5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89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586"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部门(单位)：墨脱县加热萨小学</w:t>
            </w:r>
          </w:p>
        </w:tc>
        <w:tc>
          <w:tcPr>
            <w:tcW w:w="249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102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117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10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189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44" w:type="dxa"/>
            <w:gridSpan w:val="3"/>
            <w:vMerge w:val="restart"/>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1275"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4154" w:type="dxa"/>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4110" w:type="dxa"/>
            <w:gridSpan w:val="3"/>
            <w:tcBorders>
              <w:top w:val="single" w:color="000000" w:sz="4" w:space="0"/>
              <w:left w:val="nil"/>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44" w:type="dxa"/>
            <w:gridSpan w:val="3"/>
            <w:vMerge w:val="continue"/>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118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7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4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4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408"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4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08"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7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208"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注：本表反映部门（单位）本年度国有资本经营预算财政拨款收入支出情况。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208"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tabs>
          <w:tab w:val="left" w:pos="454"/>
        </w:tabs>
        <w:bidi w:val="0"/>
        <w:jc w:val="left"/>
        <w:rPr>
          <w:rFonts w:hint="eastAsia"/>
          <w:color w:val="auto"/>
          <w:lang w:val="en-US" w:eastAsia="zh-CN"/>
        </w:rPr>
      </w:pPr>
    </w:p>
    <w:p>
      <w:pPr>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sectPr>
          <w:pgSz w:w="16838" w:h="11906" w:orient="landscape"/>
          <w:pgMar w:top="1587" w:right="2098" w:bottom="1474" w:left="1984" w:header="851" w:footer="992" w:gutter="0"/>
          <w:cols w:space="0" w:num="1"/>
          <w:rtlGutter w:val="0"/>
          <w:docGrid w:type="lines" w:linePitch="315" w:charSpace="0"/>
        </w:sectPr>
      </w:pPr>
    </w:p>
    <w:tbl>
      <w:tblPr>
        <w:tblStyle w:val="9"/>
        <w:tblW w:w="53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3"/>
        <w:gridCol w:w="1772"/>
        <w:gridCol w:w="491"/>
        <w:gridCol w:w="1353"/>
        <w:gridCol w:w="1257"/>
        <w:gridCol w:w="1125"/>
        <w:gridCol w:w="780"/>
        <w:gridCol w:w="1650"/>
        <w:gridCol w:w="630"/>
        <w:gridCol w:w="1530"/>
        <w:gridCol w:w="1110"/>
        <w:gridCol w:w="1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85"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附件1-9</w:t>
            </w:r>
          </w:p>
        </w:tc>
        <w:tc>
          <w:tcPr>
            <w:tcW w:w="65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8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9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6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8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0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6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0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0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财政拨款“三公”经费支出决算公开表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18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65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9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6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1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8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60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3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6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0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94"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部门(单位)：墨脱县加热萨小学 </w:t>
            </w:r>
          </w:p>
        </w:tc>
        <w:tc>
          <w:tcPr>
            <w:tcW w:w="894"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2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6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0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0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94" w:type="pct"/>
            <w:gridSpan w:val="6"/>
            <w:tcBorders>
              <w:top w:val="single" w:color="000000" w:sz="4" w:space="0"/>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c>
          <w:tcPr>
            <w:tcW w:w="2605" w:type="pct"/>
            <w:gridSpan w:val="6"/>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8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652" w:type="pct"/>
            <w:vMerge w:val="restart"/>
            <w:tcBorders>
              <w:top w:val="single" w:color="000000" w:sz="4" w:space="0"/>
              <w:left w:val="nil"/>
              <w:bottom w:val="single" w:color="80808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1142" w:type="pct"/>
            <w:gridSpan w:val="3"/>
            <w:tcBorders>
              <w:top w:val="nil"/>
              <w:left w:val="nil"/>
              <w:bottom w:val="nil"/>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414" w:type="pct"/>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1203"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8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52" w:type="pct"/>
            <w:vMerge w:val="continue"/>
            <w:tcBorders>
              <w:top w:val="single" w:color="000000" w:sz="4" w:space="0"/>
              <w:left w:val="nil"/>
              <w:bottom w:val="single" w:color="80808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46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414" w:type="pct"/>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56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85" w:type="pct"/>
            <w:tcBorders>
              <w:top w:val="nil"/>
              <w:left w:val="single" w:color="808080" w:sz="4" w:space="0"/>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652" w:type="pct"/>
            <w:tcBorders>
              <w:top w:val="single" w:color="000000" w:sz="4" w:space="0"/>
              <w:left w:val="single" w:color="000000" w:sz="4" w:space="0"/>
              <w:bottom w:val="single" w:color="80808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498" w:type="pct"/>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287" w:type="pc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408"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5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注：本表反映部门（单位）本年度财政拨款“三公”经费支出预决算情况。其中，预算数为“三公”经费全年预算数，反映按规定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bookmarkEnd w:id="31"/>
    <w:bookmarkEnd w:id="32"/>
    <w:bookmarkEnd w:id="33"/>
    <w:bookmarkEnd w:id="34"/>
    <w:bookmarkEnd w:id="35"/>
    <w:bookmarkEnd w:id="36"/>
    <w:p>
      <w:pPr>
        <w:spacing w:line="578" w:lineRule="exact"/>
        <w:jc w:val="center"/>
        <w:rPr>
          <w:rFonts w:hint="eastAsia" w:ascii="黑体" w:hAnsi="ˎ̥" w:eastAsia="黑体"/>
          <w:color w:val="auto"/>
          <w:sz w:val="32"/>
          <w:szCs w:val="32"/>
        </w:rPr>
      </w:pPr>
      <w:bookmarkStart w:id="37" w:name="_Toc31264_WPSOffice_Level1"/>
      <w:bookmarkStart w:id="38" w:name="_Toc4402_WPSOffice_Level1"/>
      <w:bookmarkStart w:id="39" w:name="_Toc16686_WPSOffice_Level1"/>
      <w:bookmarkStart w:id="40" w:name="_Toc28629_WPSOffice_Level1"/>
      <w:bookmarkStart w:id="41" w:name="_Toc29683_WPSOffice_Level1"/>
      <w:bookmarkStart w:id="42" w:name="_Toc27590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37"/>
      <w:bookmarkEnd w:id="38"/>
      <w:bookmarkEnd w:id="39"/>
      <w:bookmarkEnd w:id="40"/>
      <w:bookmarkEnd w:id="41"/>
      <w:bookmarkEnd w:id="42"/>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439.49</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439.49</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w:t>
      </w:r>
      <w:r>
        <w:rPr>
          <w:rFonts w:hint="eastAsia" w:ascii="仿宋_GB2312" w:hAnsi="ˎ̥" w:eastAsia="仿宋_GB2312"/>
          <w:color w:val="auto"/>
          <w:sz w:val="32"/>
          <w:szCs w:val="32"/>
          <w:lang w:val="en-US" w:eastAsia="zh-CN"/>
        </w:rPr>
        <w:t>增加131.95</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增加42.9</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项目支出增加。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439.49</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万元，年初结转结余</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439.49</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373.12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84.9</w:t>
      </w:r>
      <w:r>
        <w:rPr>
          <w:rFonts w:hint="eastAsia" w:ascii="仿宋_GB2312" w:hAnsi="ˎ̥" w:eastAsia="仿宋_GB2312"/>
          <w:color w:val="auto"/>
          <w:sz w:val="32"/>
          <w:szCs w:val="32"/>
        </w:rPr>
        <w:t>%；项目支出</w:t>
      </w:r>
      <w:r>
        <w:rPr>
          <w:rFonts w:hint="eastAsia" w:ascii="仿宋_GB2312" w:hAnsi="ˎ̥" w:eastAsia="仿宋_GB2312"/>
          <w:color w:val="auto"/>
          <w:sz w:val="32"/>
          <w:szCs w:val="32"/>
          <w:lang w:val="en-US" w:eastAsia="zh-CN"/>
        </w:rPr>
        <w:t>66.37</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占15.1</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439.49</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全部为</w:t>
      </w:r>
      <w:r>
        <w:rPr>
          <w:rFonts w:hint="eastAsia" w:ascii="仿宋_GB2312" w:hAnsi="ˎ̥" w:eastAsia="仿宋_GB2312"/>
          <w:color w:val="auto"/>
          <w:sz w:val="32"/>
          <w:szCs w:val="32"/>
        </w:rPr>
        <w:t>财政拨款收入</w:t>
      </w:r>
      <w:r>
        <w:rPr>
          <w:rFonts w:hint="eastAsia" w:ascii="仿宋_GB2312" w:hAnsi="ˎ̥" w:eastAsia="仿宋_GB2312"/>
          <w:color w:val="auto"/>
          <w:sz w:val="32"/>
          <w:szCs w:val="32"/>
          <w:lang w:val="en-US" w:eastAsia="zh-CN"/>
        </w:rPr>
        <w:t>439.49</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439.49</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373.12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84.9</w:t>
      </w:r>
      <w:r>
        <w:rPr>
          <w:rFonts w:hint="eastAsia" w:ascii="仿宋_GB2312" w:hAnsi="ˎ̥" w:eastAsia="仿宋_GB2312"/>
          <w:color w:val="auto"/>
          <w:sz w:val="32"/>
          <w:szCs w:val="32"/>
        </w:rPr>
        <w:t>%；项目支出</w:t>
      </w:r>
      <w:r>
        <w:rPr>
          <w:rFonts w:hint="eastAsia" w:ascii="仿宋_GB2312" w:hAnsi="ˎ̥" w:eastAsia="仿宋_GB2312"/>
          <w:color w:val="auto"/>
          <w:sz w:val="32"/>
          <w:szCs w:val="32"/>
          <w:lang w:val="en-US" w:eastAsia="zh-CN"/>
        </w:rPr>
        <w:t>66.37</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占15.1</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439.49</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439.49</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w:t>
      </w:r>
      <w:r>
        <w:rPr>
          <w:rFonts w:hint="eastAsia" w:ascii="仿宋_GB2312" w:hAnsi="ˎ̥" w:eastAsia="仿宋_GB2312"/>
          <w:color w:val="auto"/>
          <w:sz w:val="32"/>
          <w:szCs w:val="32"/>
          <w:lang w:val="en-US" w:eastAsia="zh-CN"/>
        </w:rPr>
        <w:t>增加131.95</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增加42.9%</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增加131.95</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增加42.9</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3" w:name="_Toc13694_WPSOffice_Level2"/>
      <w:bookmarkStart w:id="44" w:name="_Toc19665_WPSOffice_Level2"/>
      <w:bookmarkStart w:id="45" w:name="_Toc17398_WPSOffice_Level2"/>
      <w:bookmarkStart w:id="46" w:name="_Toc23005_WPSOffice_Level2"/>
      <w:bookmarkStart w:id="47" w:name="_Toc21737_WPSOffice_Level2"/>
      <w:bookmarkStart w:id="48" w:name="_Toc9989_WPSOffice_Level2"/>
      <w:r>
        <w:rPr>
          <w:rFonts w:hint="eastAsia" w:ascii="楷体" w:hAnsi="楷体" w:eastAsia="楷体" w:cs="楷体"/>
          <w:color w:val="auto"/>
          <w:sz w:val="32"/>
          <w:szCs w:val="32"/>
        </w:rPr>
        <w:t>（一）一般公共预算财政拨款支出决算总体情况</w:t>
      </w:r>
      <w:bookmarkEnd w:id="43"/>
      <w:bookmarkEnd w:id="44"/>
      <w:bookmarkEnd w:id="45"/>
      <w:bookmarkEnd w:id="46"/>
      <w:bookmarkEnd w:id="47"/>
      <w:bookmarkEnd w:id="48"/>
    </w:p>
    <w:p>
      <w:pPr>
        <w:spacing w:line="578" w:lineRule="exact"/>
        <w:ind w:firstLine="640" w:firstLineChars="200"/>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438.11</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99.69</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w:t>
      </w:r>
      <w:r>
        <w:rPr>
          <w:rFonts w:hint="eastAsia" w:ascii="仿宋_GB2312" w:hAnsi="ˎ̥" w:eastAsia="仿宋_GB2312"/>
          <w:color w:val="auto"/>
          <w:sz w:val="32"/>
          <w:szCs w:val="32"/>
          <w:lang w:val="en-US" w:eastAsia="zh-CN"/>
        </w:rPr>
        <w:t>增加131.65</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增加42.96</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项目支出</w:t>
      </w:r>
      <w:r>
        <w:rPr>
          <w:rFonts w:hint="eastAsia" w:ascii="仿宋_GB2312" w:hAnsi="ˎ̥" w:eastAsia="仿宋_GB2312"/>
          <w:color w:val="auto"/>
          <w:sz w:val="32"/>
          <w:szCs w:val="32"/>
          <w:lang w:val="en-US" w:eastAsia="zh-CN"/>
        </w:rPr>
        <w:t>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9" w:name="_Toc27767_WPSOffice_Level2"/>
      <w:bookmarkStart w:id="50" w:name="_Toc19075_WPSOffice_Level2"/>
      <w:bookmarkStart w:id="51" w:name="_Toc19535_WPSOffice_Level2"/>
      <w:bookmarkStart w:id="52" w:name="_Toc2711_WPSOffice_Level2"/>
      <w:bookmarkStart w:id="53" w:name="_Toc18793_WPSOffice_Level2"/>
      <w:bookmarkStart w:id="54" w:name="_Toc23864_WPSOffice_Level2"/>
      <w:r>
        <w:rPr>
          <w:rFonts w:hint="eastAsia" w:ascii="楷体" w:hAnsi="楷体" w:eastAsia="楷体" w:cs="楷体"/>
          <w:color w:val="auto"/>
          <w:sz w:val="32"/>
          <w:szCs w:val="32"/>
        </w:rPr>
        <w:t>（二）一般公共预算财政拨款支出决算结构情况</w:t>
      </w:r>
      <w:bookmarkEnd w:id="49"/>
      <w:bookmarkEnd w:id="50"/>
      <w:bookmarkEnd w:id="51"/>
      <w:bookmarkEnd w:id="52"/>
      <w:bookmarkEnd w:id="53"/>
      <w:bookmarkEnd w:id="54"/>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438.11</w:t>
      </w:r>
      <w:r>
        <w:rPr>
          <w:rFonts w:hint="eastAsia" w:ascii="仿宋_GB2312" w:hAnsi="ˎ̥" w:eastAsia="仿宋_GB2312"/>
          <w:color w:val="auto"/>
          <w:sz w:val="32"/>
          <w:szCs w:val="32"/>
        </w:rPr>
        <w:t>万元，主要用于以下方面：</w:t>
      </w:r>
      <w:r>
        <w:rPr>
          <w:rFonts w:hint="eastAsia" w:ascii="仿宋_GB2312" w:hAnsi="仿宋_GB2312" w:eastAsia="仿宋_GB2312" w:cs="仿宋_GB2312"/>
          <w:b/>
          <w:sz w:val="32"/>
          <w:szCs w:val="32"/>
        </w:rPr>
        <w:t>教育（类）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349.58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79.79</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32.36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7.39</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卫生健康（类）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15.57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3.55</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住房保障（类）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40.59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9.26</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55" w:name="_Toc21701_WPSOffice_Level2"/>
      <w:bookmarkStart w:id="56" w:name="_Toc29364_WPSOffice_Level2"/>
      <w:bookmarkStart w:id="57" w:name="_Toc9502_WPSOffice_Level2"/>
      <w:bookmarkStart w:id="58" w:name="_Toc15415_WPSOffice_Level2"/>
      <w:bookmarkStart w:id="59" w:name="_Toc22318_WPSOffice_Level2"/>
      <w:bookmarkStart w:id="60" w:name="_Toc25136_WPSOffice_Level2"/>
      <w:r>
        <w:rPr>
          <w:rFonts w:hint="eastAsia" w:ascii="楷体" w:hAnsi="楷体" w:eastAsia="楷体" w:cs="楷体"/>
          <w:color w:val="auto"/>
          <w:sz w:val="32"/>
          <w:szCs w:val="32"/>
        </w:rPr>
        <w:t>（三）一般公共预算财政拨款支出决算具体情况</w:t>
      </w:r>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333.84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439.49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131.65</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主要是项目支出增加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 w:hAnsi="仿宋" w:eastAsia="仿宋"/>
          <w:color w:val="auto"/>
          <w:sz w:val="32"/>
          <w:szCs w:val="32"/>
          <w:lang w:val="en-US" w:eastAsia="zh-CN"/>
        </w:rPr>
        <w:t>373.11</w:t>
      </w:r>
      <w:r>
        <w:rPr>
          <w:rFonts w:hint="eastAsia" w:ascii="仿宋_GB2312" w:hAnsi="ˎ̥" w:eastAsia="仿宋_GB2312"/>
          <w:color w:val="auto"/>
          <w:sz w:val="32"/>
          <w:szCs w:val="32"/>
        </w:rPr>
        <w:t>万元，其中：人员经费</w:t>
      </w:r>
      <w:r>
        <w:rPr>
          <w:rFonts w:hint="eastAsia" w:ascii="仿宋_GB2312" w:hAnsi="ˎ̥" w:eastAsia="仿宋_GB2312"/>
          <w:color w:val="auto"/>
          <w:sz w:val="32"/>
          <w:szCs w:val="32"/>
          <w:lang w:val="en-US" w:eastAsia="zh-CN"/>
        </w:rPr>
        <w:t>353.75</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19.36</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w:t>
      </w:r>
      <w:r>
        <w:rPr>
          <w:rFonts w:hint="eastAsia" w:ascii="仿宋_GB2312" w:hAnsi="ˎ̥" w:eastAsia="仿宋_GB2312"/>
          <w:color w:val="auto"/>
          <w:sz w:val="32"/>
          <w:szCs w:val="32"/>
        </w:rPr>
        <w:t>拨款支出</w:t>
      </w:r>
      <w:r>
        <w:rPr>
          <w:rFonts w:hint="eastAsia" w:ascii="仿宋_GB2312" w:hAnsi="ˎ̥" w:eastAsia="仿宋_GB2312"/>
          <w:color w:val="auto"/>
          <w:sz w:val="32"/>
          <w:szCs w:val="32"/>
          <w:lang w:val="en-US" w:eastAsia="zh-CN"/>
        </w:rPr>
        <w:t>1.38</w:t>
      </w:r>
      <w:r>
        <w:rPr>
          <w:rFonts w:hint="eastAsia" w:ascii="仿宋_GB2312" w:hAnsi="ˎ̥" w:eastAsia="仿宋_GB2312"/>
          <w:color w:val="auto"/>
          <w:sz w:val="32"/>
          <w:szCs w:val="32"/>
        </w:rPr>
        <w:t>万元</w:t>
      </w:r>
      <w:r>
        <w:rPr>
          <w:rFonts w:hint="eastAsia" w:ascii="仿宋_GB2312" w:hAnsi="ˎ̥" w:eastAsia="仿宋_GB2312"/>
          <w:sz w:val="32"/>
          <w:szCs w:val="32"/>
        </w:rPr>
        <w:t>，占本年支出合计的</w:t>
      </w:r>
      <w:r>
        <w:rPr>
          <w:rFonts w:hint="eastAsia" w:ascii="仿宋_GB2312" w:hAnsi="ˎ̥" w:eastAsia="仿宋_GB2312"/>
          <w:color w:val="auto"/>
          <w:sz w:val="32"/>
          <w:szCs w:val="32"/>
          <w:lang w:val="en-US" w:eastAsia="zh-CN"/>
        </w:rPr>
        <w:t>0.31</w:t>
      </w:r>
      <w:r>
        <w:rPr>
          <w:rFonts w:hint="eastAsia" w:ascii="仿宋_GB2312" w:hAnsi="ˎ̥" w:eastAsia="仿宋_GB2312"/>
          <w:sz w:val="32"/>
          <w:szCs w:val="32"/>
        </w:rPr>
        <w:t>%。与202</w:t>
      </w:r>
      <w:r>
        <w:rPr>
          <w:rFonts w:hint="eastAsia" w:ascii="仿宋_GB2312" w:hAnsi="ˎ̥" w:eastAsia="仿宋_GB2312"/>
          <w:sz w:val="32"/>
          <w:szCs w:val="32"/>
          <w:lang w:val="en-US" w:eastAsia="zh-CN"/>
        </w:rPr>
        <w:t>3</w:t>
      </w:r>
      <w:r>
        <w:rPr>
          <w:rFonts w:hint="eastAsia" w:ascii="仿宋_GB2312" w:hAnsi="ˎ̥" w:eastAsia="仿宋_GB2312"/>
          <w:sz w:val="32"/>
          <w:szCs w:val="32"/>
        </w:rPr>
        <w:t>年度相比，政府性基金预算财政拨款支出增加</w:t>
      </w:r>
      <w:r>
        <w:rPr>
          <w:rFonts w:hint="eastAsia" w:ascii="仿宋_GB2312" w:hAnsi="ˎ̥" w:eastAsia="仿宋_GB2312"/>
          <w:sz w:val="32"/>
          <w:szCs w:val="32"/>
          <w:lang w:val="en-US" w:eastAsia="zh-CN"/>
        </w:rPr>
        <w:t>0.3</w:t>
      </w:r>
      <w:r>
        <w:rPr>
          <w:rFonts w:hint="eastAsia" w:ascii="仿宋_GB2312" w:hAnsi="ˎ̥" w:eastAsia="仿宋_GB2312"/>
          <w:sz w:val="32"/>
          <w:szCs w:val="32"/>
        </w:rPr>
        <w:t>万元，增长</w:t>
      </w:r>
      <w:r>
        <w:rPr>
          <w:rFonts w:hint="eastAsia" w:ascii="仿宋_GB2312" w:hAnsi="ˎ̥" w:eastAsia="仿宋_GB2312"/>
          <w:sz w:val="32"/>
          <w:szCs w:val="32"/>
          <w:lang w:val="en-US" w:eastAsia="zh-CN"/>
        </w:rPr>
        <w:t>21.78</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项目支出增加</w:t>
      </w:r>
      <w:r>
        <w:rPr>
          <w:rFonts w:hint="eastAsia" w:ascii="仿宋_GB2312" w:hAnsi="ˎ̥" w:eastAsia="仿宋_GB2312"/>
          <w:sz w:val="32"/>
          <w:szCs w:val="32"/>
        </w:rPr>
        <w:t>。</w:t>
      </w:r>
    </w:p>
    <w:p>
      <w:pPr>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w:t>
      </w:r>
      <w:r>
        <w:rPr>
          <w:rFonts w:hint="eastAsia" w:ascii="仿宋_GB2312" w:hAnsi="ˎ̥" w:eastAsia="仿宋_GB2312"/>
          <w:color w:val="auto"/>
          <w:sz w:val="32"/>
          <w:szCs w:val="32"/>
        </w:rPr>
        <w:t>款支出</w:t>
      </w:r>
      <w:r>
        <w:rPr>
          <w:rFonts w:hint="eastAsia" w:ascii="仿宋_GB2312" w:hAnsi="ˎ̥" w:eastAsia="仿宋_GB2312"/>
          <w:color w:val="auto"/>
          <w:sz w:val="32"/>
          <w:szCs w:val="32"/>
          <w:lang w:val="en-US" w:eastAsia="zh-CN"/>
        </w:rPr>
        <w:t>1.38</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其他</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1.38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年度政府性基金预算财政拨款支出年初预算</w:t>
      </w:r>
      <w:r>
        <w:rPr>
          <w:rFonts w:hint="eastAsia" w:ascii="仿宋_GB2312" w:hAnsi="ˎ̥" w:eastAsia="仿宋_GB2312"/>
          <w:color w:val="auto"/>
          <w:sz w:val="32"/>
          <w:szCs w:val="32"/>
        </w:rPr>
        <w:t>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1.38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仿宋_GB2312" w:hAnsi="ˎ̥" w:eastAsia="仿宋_GB2312"/>
          <w:color w:val="auto"/>
          <w:sz w:val="32"/>
          <w:szCs w:val="32"/>
          <w:lang w:val="en-US" w:eastAsia="zh-CN"/>
        </w:rPr>
        <w:t>我单位无国有资本经营预算。</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我单位无财政拨款“三公”经费支出。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根据预算管理要求，我部门（单位）组织对</w:t>
      </w: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度一般公共预算项目支出全面开展绩效自评。项目</w:t>
      </w:r>
      <w:r>
        <w:rPr>
          <w:rFonts w:hint="eastAsia" w:ascii="仿宋_GB2312" w:hAnsi="ˎ̥" w:eastAsia="仿宋_GB2312"/>
          <w:color w:val="auto"/>
          <w:sz w:val="32"/>
          <w:szCs w:val="32"/>
          <w:lang w:val="en-US" w:eastAsia="zh-CN"/>
        </w:rPr>
        <w:t>13</w:t>
      </w:r>
      <w:r>
        <w:rPr>
          <w:rFonts w:hint="eastAsia" w:ascii="仿宋_GB2312" w:hAnsi="ˎ̥" w:eastAsia="仿宋_GB2312"/>
          <w:color w:val="auto"/>
          <w:sz w:val="32"/>
          <w:szCs w:val="32"/>
        </w:rPr>
        <w:t>个，共涉及资金</w:t>
      </w:r>
      <w:r>
        <w:rPr>
          <w:rFonts w:hint="eastAsia" w:ascii="仿宋_GB2312" w:hAnsi="ˎ̥" w:eastAsia="仿宋_GB2312"/>
          <w:color w:val="auto"/>
          <w:sz w:val="32"/>
          <w:szCs w:val="32"/>
          <w:lang w:val="en-US" w:eastAsia="zh-CN"/>
        </w:rPr>
        <w:t>64.99</w:t>
      </w:r>
      <w:r>
        <w:rPr>
          <w:rFonts w:hint="eastAsia" w:ascii="仿宋_GB2312" w:hAnsi="ˎ̥" w:eastAsia="仿宋_GB2312"/>
          <w:color w:val="auto"/>
          <w:sz w:val="32"/>
          <w:szCs w:val="32"/>
        </w:rPr>
        <w:t>万元，占一般公共预算项目支出总额的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从评价情况来看，项目立项程序规范完整，绩效目标设置合理，与实际需求相符，项目业务管理制度健全，质量管控措施有效，各项业务工作有效开展，项目财务管理制度完善，资金使用规范有效，项目预期的绩效目标完成率高，均达到了预期效果，完成质量达到标准要求，时效性强，效益显著。</w:t>
      </w: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rPr>
          <w:rFonts w:hint="eastAsia" w:ascii="仿宋_GB2312" w:hAnsi="ˎ̥" w:eastAsia="仿宋_GB2312"/>
          <w:color w:val="auto"/>
          <w:sz w:val="32"/>
          <w:szCs w:val="32"/>
          <w:lang w:val="en-US" w:eastAsia="zh-CN"/>
        </w:rPr>
      </w:pPr>
    </w:p>
    <w:p>
      <w:pPr>
        <w:spacing w:line="578" w:lineRule="exact"/>
        <w:rPr>
          <w:rFonts w:hint="eastAsia" w:ascii="仿宋_GB2312" w:hAnsi="ˎ̥" w:eastAsia="仿宋_GB2312"/>
          <w:color w:val="auto"/>
          <w:sz w:val="32"/>
          <w:szCs w:val="32"/>
          <w:lang w:val="en-US" w:eastAsia="zh-CN"/>
        </w:rPr>
        <w:sectPr>
          <w:pgSz w:w="11906" w:h="16838"/>
          <w:pgMar w:top="2098" w:right="1474" w:bottom="1984" w:left="1587" w:header="851" w:footer="992" w:gutter="0"/>
          <w:cols w:space="720" w:num="1"/>
          <w:docGrid w:type="lines" w:linePitch="312" w:charSpace="0"/>
        </w:sectPr>
      </w:pPr>
    </w:p>
    <w:tbl>
      <w:tblPr>
        <w:tblStyle w:val="9"/>
        <w:tblW w:w="13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43"/>
        <w:gridCol w:w="1124"/>
        <w:gridCol w:w="1708"/>
        <w:gridCol w:w="1033"/>
        <w:gridCol w:w="1363"/>
        <w:gridCol w:w="958"/>
        <w:gridCol w:w="1063"/>
        <w:gridCol w:w="915"/>
        <w:gridCol w:w="1288"/>
        <w:gridCol w:w="869"/>
        <w:gridCol w:w="869"/>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13740" w:type="dxa"/>
            <w:gridSpan w:val="1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40"/>
                <w:szCs w:val="40"/>
                <w:u w:val="none"/>
              </w:rPr>
            </w:pPr>
            <w:r>
              <w:rPr>
                <w:rFonts w:hint="eastAsia" w:ascii="仿宋" w:hAnsi="仿宋" w:eastAsia="仿宋" w:cs="仿宋"/>
                <w:b/>
                <w:i w:val="0"/>
                <w:color w:val="000000"/>
                <w:kern w:val="0"/>
                <w:sz w:val="40"/>
                <w:szCs w:val="40"/>
                <w:u w:val="none"/>
                <w:lang w:val="en-US" w:eastAsia="zh-CN" w:bidi="ar"/>
              </w:rPr>
              <w:t xml:space="preserve">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2"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项目名称:</w:t>
            </w:r>
          </w:p>
        </w:tc>
        <w:tc>
          <w:tcPr>
            <w:tcW w:w="38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54042324T000001573239-“两县两乡”教师激励津贴</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填报人:</w:t>
            </w:r>
          </w:p>
        </w:tc>
        <w:tc>
          <w:tcPr>
            <w:tcW w:w="29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次仁尼玛</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联系方式:</w:t>
            </w:r>
          </w:p>
        </w:tc>
        <w:tc>
          <w:tcPr>
            <w:tcW w:w="30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主管部门:</w:t>
            </w:r>
          </w:p>
        </w:tc>
        <w:tc>
          <w:tcPr>
            <w:tcW w:w="38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105-墨脱县教育局</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实施单位:</w:t>
            </w:r>
          </w:p>
        </w:tc>
        <w:tc>
          <w:tcPr>
            <w:tcW w:w="726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105011-墨脱县加热萨小学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2" w:hRule="atLeast"/>
        </w:trPr>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资金构成(元)</w:t>
            </w:r>
          </w:p>
        </w:tc>
        <w:tc>
          <w:tcPr>
            <w:tcW w:w="1708"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年初预算数</w:t>
            </w: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全年预算数</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执行数</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分值</w:t>
            </w:r>
          </w:p>
        </w:tc>
        <w:tc>
          <w:tcPr>
            <w:tcW w:w="86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执行率（%）</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资金总额：</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50,400.00</w:t>
            </w: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50,400.00</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42,227.17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10.00 </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其中：财政资金：</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50,400.00</w:t>
            </w: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50,400.00</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42,227.17</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83.78</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单位资金：</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4224"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财政专户管理资金：</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64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年度目标</w:t>
            </w:r>
          </w:p>
        </w:tc>
        <w:tc>
          <w:tcPr>
            <w:tcW w:w="726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21" w:hRule="atLeast"/>
        </w:trPr>
        <w:tc>
          <w:tcPr>
            <w:tcW w:w="64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 以激励津贴实施为契机，激励广大教师爱岗敬业，扎实工作，开拓进取，积极主动的完成各项工作目标任务，以“一切为了孩子、为了孩子一切”为目标，努力推进墨脱县教育事业持续健康快速发展。</w:t>
            </w:r>
          </w:p>
        </w:tc>
        <w:tc>
          <w:tcPr>
            <w:tcW w:w="726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对我校老师起到了一定的激励作用，教师待遇得到进一步提升，有效改善了教师的生活质量，教学质量得到了一定的提升。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2"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一级指标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二级指标</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三级指标</w:t>
            </w:r>
          </w:p>
        </w:tc>
        <w:tc>
          <w:tcPr>
            <w:tcW w:w="136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指标性质</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年度指标值</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度量单位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实际完成值</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完成率</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分值</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得分</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数量指标</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每年享受激励津贴人数</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2"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质量指标</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为更好的激励教师的工作热情和专业发展</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2"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质量指标</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以激励津贴鼓励教师在教育教学工作中更加积极、主动</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时效指标</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激励津贴发放及时性</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2"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成本指标</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2024年激励津贴标准，参公10年及以上按12个月发放</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800</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元/人*月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800</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2"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成本指标</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2024年激励津贴标准，参公5年及以上按12个月发放</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600</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元/人*月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600</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2"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成本指标</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2024年激励津贴标准，参公5年以下按12个月发放</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400</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元/人*月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400</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21"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效益指标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经济效益指标</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教师工作积极、认真负责，成绩突出，取得了良好的社会效益</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2"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效益指标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社会效益指标</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保障每位在编教师享受国家优惠政策率高</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21"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满意度指标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服务对象满意度指标</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在编教师满意度</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3" w:hRule="atLeast"/>
        </w:trPr>
        <w:tc>
          <w:tcPr>
            <w:tcW w:w="1069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合计</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bl>
    <w:p>
      <w:pPr>
        <w:spacing w:line="578" w:lineRule="exact"/>
        <w:ind w:firstLine="640" w:firstLineChars="200"/>
        <w:rPr>
          <w:rFonts w:hint="eastAsia" w:ascii="仿宋_GB2312" w:hAnsi="ˎ̥" w:eastAsia="仿宋_GB2312"/>
          <w:color w:val="auto"/>
          <w:sz w:val="32"/>
          <w:szCs w:val="32"/>
          <w:lang w:val="en-US" w:eastAsia="zh-CN"/>
        </w:rPr>
        <w:sectPr>
          <w:pgSz w:w="16838" w:h="11906" w:orient="landscape"/>
          <w:pgMar w:top="1587" w:right="2098" w:bottom="1474" w:left="1984"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spacing w:line="578" w:lineRule="exact"/>
        <w:ind w:firstLine="640" w:firstLineChars="200"/>
        <w:outlineLvl w:val="1"/>
        <w:rPr>
          <w:rFonts w:hint="eastAsia" w:ascii="楷体" w:hAnsi="楷体" w:eastAsia="楷体" w:cs="楷体"/>
          <w:bCs/>
          <w:color w:val="auto"/>
          <w:sz w:val="32"/>
          <w:szCs w:val="32"/>
        </w:rPr>
      </w:pPr>
      <w:bookmarkStart w:id="61" w:name="_Toc23598_WPSOffice_Level2"/>
      <w:bookmarkStart w:id="62" w:name="_Toc32639_WPSOffice_Level2"/>
      <w:bookmarkStart w:id="63" w:name="_Toc27924"/>
      <w:bookmarkStart w:id="64" w:name="_Toc18325_WPSOffice_Level2"/>
      <w:bookmarkStart w:id="65" w:name="_Toc5978_WPSOffice_Level2"/>
      <w:bookmarkStart w:id="66" w:name="_Toc15565_WPSOffice_Level2"/>
      <w:bookmarkStart w:id="67" w:name="_Toc15262_WPSOffice_Level2"/>
      <w:bookmarkStart w:id="68" w:name="_Toc17580_WPSOffice_Level1"/>
      <w:bookmarkStart w:id="69" w:name="_Toc8808_WPSOffice_Level1"/>
      <w:bookmarkStart w:id="70" w:name="_Toc11039_WPSOffice_Level1"/>
      <w:bookmarkStart w:id="71" w:name="_Toc15425_WPSOffice_Level1"/>
      <w:bookmarkStart w:id="72" w:name="_Toc4398_WPSOffice_Level1"/>
      <w:bookmarkStart w:id="73" w:name="_Toc8874_WPSOffice_Level1"/>
      <w:r>
        <w:rPr>
          <w:rFonts w:hint="eastAsia" w:ascii="楷体" w:hAnsi="楷体" w:eastAsia="楷体" w:cs="楷体"/>
          <w:bCs/>
          <w:color w:val="auto"/>
          <w:sz w:val="32"/>
          <w:szCs w:val="32"/>
        </w:rPr>
        <w:t>（一）机关运行经费支出情况。</w:t>
      </w:r>
      <w:bookmarkEnd w:id="61"/>
      <w:bookmarkEnd w:id="62"/>
      <w:bookmarkEnd w:id="63"/>
      <w:bookmarkEnd w:id="64"/>
      <w:bookmarkEnd w:id="65"/>
      <w:bookmarkEnd w:id="66"/>
      <w:bookmarkEnd w:id="67"/>
      <w:bookmarkStart w:id="74" w:name="_Toc23966_WPSOffice_Level2"/>
      <w:bookmarkStart w:id="75" w:name="_Toc25333_WPSOffice_Level2"/>
      <w:bookmarkStart w:id="76" w:name="_Toc13084_WPSOffice_Level2"/>
      <w:bookmarkStart w:id="77" w:name="_Toc32689_WPSOffice_Level2"/>
      <w:bookmarkStart w:id="78" w:name="_Toc30383_WPSOffice_Level2"/>
      <w:bookmarkStart w:id="79" w:name="_Toc3131_WPSOffice_Level2"/>
      <w:bookmarkStart w:id="80" w:name="_Toc26632"/>
    </w:p>
    <w:p>
      <w:pPr>
        <w:spacing w:line="578" w:lineRule="exact"/>
        <w:ind w:firstLine="640" w:firstLineChars="200"/>
        <w:outlineLvl w:val="1"/>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2024年度我部门无</w:t>
      </w:r>
      <w:r>
        <w:rPr>
          <w:rFonts w:hint="eastAsia" w:ascii="仿宋_GB2312" w:hAnsi="ˎ̥" w:eastAsia="仿宋_GB2312"/>
          <w:color w:val="auto"/>
          <w:sz w:val="32"/>
          <w:szCs w:val="32"/>
          <w:lang w:eastAsia="zh-CN"/>
        </w:rPr>
        <w:t>机关运行经费支出。</w:t>
      </w:r>
    </w:p>
    <w:p>
      <w:pPr>
        <w:spacing w:line="578" w:lineRule="exact"/>
        <w:ind w:firstLine="640" w:firstLineChars="200"/>
        <w:outlineLvl w:val="1"/>
        <w:rPr>
          <w:rFonts w:hint="eastAsia" w:ascii="楷体" w:hAnsi="楷体" w:eastAsia="楷体" w:cs="楷体"/>
          <w:bCs/>
          <w:color w:val="auto"/>
          <w:sz w:val="32"/>
          <w:szCs w:val="32"/>
        </w:rPr>
      </w:pPr>
      <w:r>
        <w:rPr>
          <w:rFonts w:hint="eastAsia" w:ascii="楷体" w:hAnsi="楷体" w:eastAsia="楷体" w:cs="楷体"/>
          <w:bCs/>
          <w:color w:val="auto"/>
          <w:sz w:val="32"/>
          <w:szCs w:val="32"/>
        </w:rPr>
        <w:t>（二）政府采购支出情况。</w:t>
      </w:r>
      <w:bookmarkEnd w:id="74"/>
      <w:bookmarkEnd w:id="75"/>
      <w:bookmarkEnd w:id="76"/>
      <w:bookmarkEnd w:id="77"/>
      <w:bookmarkEnd w:id="78"/>
      <w:bookmarkEnd w:id="79"/>
      <w:bookmarkEnd w:id="80"/>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我部门无</w:t>
      </w:r>
      <w:r>
        <w:rPr>
          <w:rFonts w:hint="eastAsia" w:ascii="仿宋_GB2312" w:hAnsi="ˎ̥" w:eastAsia="仿宋_GB2312"/>
          <w:color w:val="auto"/>
          <w:sz w:val="32"/>
          <w:szCs w:val="32"/>
        </w:rPr>
        <w:t>政府采购支出。</w:t>
      </w:r>
    </w:p>
    <w:p>
      <w:pPr>
        <w:spacing w:line="578" w:lineRule="exact"/>
        <w:ind w:firstLine="640" w:firstLineChars="200"/>
        <w:outlineLvl w:val="1"/>
        <w:rPr>
          <w:rFonts w:hint="eastAsia" w:ascii="楷体" w:hAnsi="楷体" w:eastAsia="楷体" w:cs="楷体"/>
          <w:bCs/>
          <w:color w:val="auto"/>
          <w:sz w:val="32"/>
          <w:szCs w:val="32"/>
        </w:rPr>
      </w:pPr>
      <w:bookmarkStart w:id="81" w:name="_Toc23489"/>
      <w:bookmarkStart w:id="82" w:name="_Toc15129_WPSOffice_Level2"/>
      <w:bookmarkStart w:id="83" w:name="_Toc6016_WPSOffice_Level2"/>
      <w:bookmarkStart w:id="84" w:name="_Toc527_WPSOffice_Level2"/>
      <w:bookmarkStart w:id="85" w:name="_Toc19989_WPSOffice_Level2"/>
      <w:bookmarkStart w:id="86" w:name="_Toc10902_WPSOffice_Level2"/>
      <w:bookmarkStart w:id="87" w:name="_Toc29584_WPSOffice_Level2"/>
      <w:r>
        <w:rPr>
          <w:rFonts w:hint="eastAsia" w:ascii="楷体" w:hAnsi="楷体" w:eastAsia="楷体" w:cs="楷体"/>
          <w:bCs/>
          <w:color w:val="auto"/>
          <w:sz w:val="32"/>
          <w:szCs w:val="32"/>
        </w:rPr>
        <w:t>（三）国有资产占用情况。</w:t>
      </w:r>
      <w:bookmarkEnd w:id="81"/>
      <w:bookmarkEnd w:id="82"/>
      <w:bookmarkEnd w:id="83"/>
      <w:bookmarkEnd w:id="84"/>
      <w:bookmarkEnd w:id="85"/>
      <w:bookmarkEnd w:id="86"/>
      <w:bookmarkEnd w:id="87"/>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w:t>
      </w:r>
      <w:r>
        <w:rPr>
          <w:rFonts w:hint="eastAsia" w:ascii="仿宋_GB2312" w:hAnsi="ˎ̥" w:eastAsia="仿宋_GB2312"/>
          <w:color w:val="auto"/>
          <w:sz w:val="32"/>
          <w:szCs w:val="32"/>
          <w:lang w:eastAsia="zh-CN"/>
        </w:rPr>
        <w:t>国有资产占用情况。</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bookmarkEnd w:id="88"/>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D188"/>
    <w:multiLevelType w:val="singleLevel"/>
    <w:tmpl w:val="99C7D188"/>
    <w:lvl w:ilvl="0" w:tentative="0">
      <w:start w:val="2"/>
      <w:numFmt w:val="chineseCounting"/>
      <w:suff w:val="space"/>
      <w:lvlText w:val="第%1部分"/>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00172A27"/>
    <w:rsid w:val="00064A91"/>
    <w:rsid w:val="000718C4"/>
    <w:rsid w:val="000779B0"/>
    <w:rsid w:val="000C11D5"/>
    <w:rsid w:val="0012534A"/>
    <w:rsid w:val="001E4E23"/>
    <w:rsid w:val="001E510D"/>
    <w:rsid w:val="001F28C1"/>
    <w:rsid w:val="001F4EC0"/>
    <w:rsid w:val="00213789"/>
    <w:rsid w:val="002A6E07"/>
    <w:rsid w:val="0034456B"/>
    <w:rsid w:val="003C6369"/>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40CE3"/>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1922A7"/>
    <w:rsid w:val="014C50ED"/>
    <w:rsid w:val="01741A3C"/>
    <w:rsid w:val="01BD0674"/>
    <w:rsid w:val="01E44B90"/>
    <w:rsid w:val="01FC2149"/>
    <w:rsid w:val="02487F4D"/>
    <w:rsid w:val="029324ED"/>
    <w:rsid w:val="03144883"/>
    <w:rsid w:val="03671B82"/>
    <w:rsid w:val="03CA5715"/>
    <w:rsid w:val="05C80BB0"/>
    <w:rsid w:val="05E529DF"/>
    <w:rsid w:val="062214F8"/>
    <w:rsid w:val="06800A63"/>
    <w:rsid w:val="07A6222D"/>
    <w:rsid w:val="07CD4557"/>
    <w:rsid w:val="08CE3A2F"/>
    <w:rsid w:val="09160752"/>
    <w:rsid w:val="09201287"/>
    <w:rsid w:val="0AAE4D33"/>
    <w:rsid w:val="0AE05360"/>
    <w:rsid w:val="0AE35A88"/>
    <w:rsid w:val="0B054D9F"/>
    <w:rsid w:val="0B2E6267"/>
    <w:rsid w:val="0B471084"/>
    <w:rsid w:val="0B8A576B"/>
    <w:rsid w:val="0BEB1F5D"/>
    <w:rsid w:val="0C034C8F"/>
    <w:rsid w:val="0C2E41D9"/>
    <w:rsid w:val="0C7B2006"/>
    <w:rsid w:val="0D065DF0"/>
    <w:rsid w:val="0D882197"/>
    <w:rsid w:val="0DB667E1"/>
    <w:rsid w:val="0E184DC9"/>
    <w:rsid w:val="0E851594"/>
    <w:rsid w:val="0E946EB4"/>
    <w:rsid w:val="0F49256B"/>
    <w:rsid w:val="0FC80124"/>
    <w:rsid w:val="0FD151F6"/>
    <w:rsid w:val="107104E5"/>
    <w:rsid w:val="10AA7EE9"/>
    <w:rsid w:val="10B469FA"/>
    <w:rsid w:val="10CA3F8E"/>
    <w:rsid w:val="11AB626C"/>
    <w:rsid w:val="121C49D6"/>
    <w:rsid w:val="12A81505"/>
    <w:rsid w:val="12CB0405"/>
    <w:rsid w:val="13071936"/>
    <w:rsid w:val="131331C1"/>
    <w:rsid w:val="131503EF"/>
    <w:rsid w:val="132B690D"/>
    <w:rsid w:val="134336CC"/>
    <w:rsid w:val="136F98C7"/>
    <w:rsid w:val="13D62796"/>
    <w:rsid w:val="13FFB27A"/>
    <w:rsid w:val="14A709DB"/>
    <w:rsid w:val="14C23C26"/>
    <w:rsid w:val="14DD2775"/>
    <w:rsid w:val="14F17710"/>
    <w:rsid w:val="14FD7C13"/>
    <w:rsid w:val="154C47EC"/>
    <w:rsid w:val="15CE3F87"/>
    <w:rsid w:val="163A3ADA"/>
    <w:rsid w:val="1659747D"/>
    <w:rsid w:val="16946D1A"/>
    <w:rsid w:val="16BE7989"/>
    <w:rsid w:val="17427E68"/>
    <w:rsid w:val="1755065F"/>
    <w:rsid w:val="17967775"/>
    <w:rsid w:val="1832346D"/>
    <w:rsid w:val="186A722D"/>
    <w:rsid w:val="194C38F4"/>
    <w:rsid w:val="19E00108"/>
    <w:rsid w:val="1A2266E4"/>
    <w:rsid w:val="1AFC29C9"/>
    <w:rsid w:val="1B251E30"/>
    <w:rsid w:val="1B2F6F9F"/>
    <w:rsid w:val="1C3A3D5E"/>
    <w:rsid w:val="1CA52F2E"/>
    <w:rsid w:val="1CF20597"/>
    <w:rsid w:val="1D253502"/>
    <w:rsid w:val="1D434B02"/>
    <w:rsid w:val="1DE96D51"/>
    <w:rsid w:val="1DFE370B"/>
    <w:rsid w:val="1E3630B9"/>
    <w:rsid w:val="1E872024"/>
    <w:rsid w:val="1F0D4AC3"/>
    <w:rsid w:val="1F9B5B51"/>
    <w:rsid w:val="1FD008F3"/>
    <w:rsid w:val="1FFF6B02"/>
    <w:rsid w:val="20D504E9"/>
    <w:rsid w:val="21850FDE"/>
    <w:rsid w:val="22A55F7B"/>
    <w:rsid w:val="239C5E39"/>
    <w:rsid w:val="23A14BBA"/>
    <w:rsid w:val="23F93F53"/>
    <w:rsid w:val="240C319D"/>
    <w:rsid w:val="24D6412C"/>
    <w:rsid w:val="25083F98"/>
    <w:rsid w:val="2541423A"/>
    <w:rsid w:val="26E60DB1"/>
    <w:rsid w:val="26EEC2B5"/>
    <w:rsid w:val="26FC5B1D"/>
    <w:rsid w:val="27F759AC"/>
    <w:rsid w:val="29472309"/>
    <w:rsid w:val="29BB47EF"/>
    <w:rsid w:val="2A2B000D"/>
    <w:rsid w:val="2A587431"/>
    <w:rsid w:val="2A916356"/>
    <w:rsid w:val="2AC16E4B"/>
    <w:rsid w:val="2B406E77"/>
    <w:rsid w:val="2B5A335B"/>
    <w:rsid w:val="2BA84A35"/>
    <w:rsid w:val="2BDD10DC"/>
    <w:rsid w:val="2BE96243"/>
    <w:rsid w:val="2BF74B2A"/>
    <w:rsid w:val="2C170512"/>
    <w:rsid w:val="2C1E3812"/>
    <w:rsid w:val="2C2A0C43"/>
    <w:rsid w:val="2C76651F"/>
    <w:rsid w:val="2CA8737F"/>
    <w:rsid w:val="2CDC69CA"/>
    <w:rsid w:val="2D1621AB"/>
    <w:rsid w:val="2D1E73A5"/>
    <w:rsid w:val="2D470B23"/>
    <w:rsid w:val="2D8F5340"/>
    <w:rsid w:val="2E6565C2"/>
    <w:rsid w:val="2ED135A7"/>
    <w:rsid w:val="2EDF0F08"/>
    <w:rsid w:val="2EEC389E"/>
    <w:rsid w:val="2F5C08E5"/>
    <w:rsid w:val="30807CA4"/>
    <w:rsid w:val="310419E1"/>
    <w:rsid w:val="317D7C5F"/>
    <w:rsid w:val="31D92244"/>
    <w:rsid w:val="3234519E"/>
    <w:rsid w:val="32390A7C"/>
    <w:rsid w:val="32717154"/>
    <w:rsid w:val="332351BA"/>
    <w:rsid w:val="332E4AAE"/>
    <w:rsid w:val="33D26081"/>
    <w:rsid w:val="3427797A"/>
    <w:rsid w:val="34B63260"/>
    <w:rsid w:val="3573699D"/>
    <w:rsid w:val="36281514"/>
    <w:rsid w:val="36B36EF9"/>
    <w:rsid w:val="36C362B5"/>
    <w:rsid w:val="36F937B6"/>
    <w:rsid w:val="377D73BE"/>
    <w:rsid w:val="37FDA7E2"/>
    <w:rsid w:val="38192195"/>
    <w:rsid w:val="384B2632"/>
    <w:rsid w:val="385A1373"/>
    <w:rsid w:val="385D21A0"/>
    <w:rsid w:val="38B91761"/>
    <w:rsid w:val="39DD4518"/>
    <w:rsid w:val="39EE78A8"/>
    <w:rsid w:val="3A314D88"/>
    <w:rsid w:val="3A656D10"/>
    <w:rsid w:val="3A746883"/>
    <w:rsid w:val="3A770CB9"/>
    <w:rsid w:val="3AD77AEE"/>
    <w:rsid w:val="3B3070F6"/>
    <w:rsid w:val="3B443201"/>
    <w:rsid w:val="3B5E3E17"/>
    <w:rsid w:val="3B76046C"/>
    <w:rsid w:val="3B7E6C33"/>
    <w:rsid w:val="3BA13919"/>
    <w:rsid w:val="3BB6462D"/>
    <w:rsid w:val="3BF04668"/>
    <w:rsid w:val="3BF36762"/>
    <w:rsid w:val="3CA15DE9"/>
    <w:rsid w:val="3D2F5C32"/>
    <w:rsid w:val="3D61147F"/>
    <w:rsid w:val="3DC950E2"/>
    <w:rsid w:val="3ED616A5"/>
    <w:rsid w:val="3FAD196A"/>
    <w:rsid w:val="3FE61EE5"/>
    <w:rsid w:val="40010245"/>
    <w:rsid w:val="400A0257"/>
    <w:rsid w:val="406508EE"/>
    <w:rsid w:val="408D6263"/>
    <w:rsid w:val="40E9393E"/>
    <w:rsid w:val="412B0DA3"/>
    <w:rsid w:val="416627DB"/>
    <w:rsid w:val="41B40CEE"/>
    <w:rsid w:val="4299604D"/>
    <w:rsid w:val="431636FE"/>
    <w:rsid w:val="43BF4F41"/>
    <w:rsid w:val="43C663D5"/>
    <w:rsid w:val="43F22A80"/>
    <w:rsid w:val="446875D8"/>
    <w:rsid w:val="44864388"/>
    <w:rsid w:val="44E03403"/>
    <w:rsid w:val="45AA27F2"/>
    <w:rsid w:val="45E9561A"/>
    <w:rsid w:val="45F52E3E"/>
    <w:rsid w:val="465D7AFE"/>
    <w:rsid w:val="467631A7"/>
    <w:rsid w:val="46900A5D"/>
    <w:rsid w:val="469E2CEC"/>
    <w:rsid w:val="46A1108D"/>
    <w:rsid w:val="46A447AE"/>
    <w:rsid w:val="46DA441E"/>
    <w:rsid w:val="46E53528"/>
    <w:rsid w:val="46E67E81"/>
    <w:rsid w:val="47691FCD"/>
    <w:rsid w:val="48317291"/>
    <w:rsid w:val="48460EA5"/>
    <w:rsid w:val="485F7024"/>
    <w:rsid w:val="487A687C"/>
    <w:rsid w:val="48D877F1"/>
    <w:rsid w:val="48E70666"/>
    <w:rsid w:val="499910A3"/>
    <w:rsid w:val="49C173DC"/>
    <w:rsid w:val="49E25274"/>
    <w:rsid w:val="4A1C039D"/>
    <w:rsid w:val="4A3B039B"/>
    <w:rsid w:val="4B2125F4"/>
    <w:rsid w:val="4BEE4564"/>
    <w:rsid w:val="4C215BBF"/>
    <w:rsid w:val="4C6877E5"/>
    <w:rsid w:val="4CEB717D"/>
    <w:rsid w:val="4CF70F62"/>
    <w:rsid w:val="4D5F4F21"/>
    <w:rsid w:val="4D6A468D"/>
    <w:rsid w:val="4E307D23"/>
    <w:rsid w:val="4E3410BF"/>
    <w:rsid w:val="4EA86137"/>
    <w:rsid w:val="4ED2574D"/>
    <w:rsid w:val="4F1973FE"/>
    <w:rsid w:val="4F992A10"/>
    <w:rsid w:val="51016BC2"/>
    <w:rsid w:val="514315C5"/>
    <w:rsid w:val="514905BA"/>
    <w:rsid w:val="51A05652"/>
    <w:rsid w:val="51C50160"/>
    <w:rsid w:val="51DA6CD8"/>
    <w:rsid w:val="51E21B4F"/>
    <w:rsid w:val="52057D25"/>
    <w:rsid w:val="521B504A"/>
    <w:rsid w:val="52301F99"/>
    <w:rsid w:val="531F2F47"/>
    <w:rsid w:val="534F05FD"/>
    <w:rsid w:val="53996C9C"/>
    <w:rsid w:val="53B65C90"/>
    <w:rsid w:val="541D020F"/>
    <w:rsid w:val="542F1F2F"/>
    <w:rsid w:val="55E11F18"/>
    <w:rsid w:val="55E552CD"/>
    <w:rsid w:val="56037112"/>
    <w:rsid w:val="56104BF2"/>
    <w:rsid w:val="56225A8C"/>
    <w:rsid w:val="564C5AEC"/>
    <w:rsid w:val="56CA7FD0"/>
    <w:rsid w:val="572F507A"/>
    <w:rsid w:val="5745027B"/>
    <w:rsid w:val="57FA38D1"/>
    <w:rsid w:val="58471724"/>
    <w:rsid w:val="589622B8"/>
    <w:rsid w:val="59301824"/>
    <w:rsid w:val="59973FBC"/>
    <w:rsid w:val="5A0F2093"/>
    <w:rsid w:val="5AF3495B"/>
    <w:rsid w:val="5AF90702"/>
    <w:rsid w:val="5BCD39CD"/>
    <w:rsid w:val="5BCFF96F"/>
    <w:rsid w:val="5BDF23FE"/>
    <w:rsid w:val="5C1F59AF"/>
    <w:rsid w:val="5D213B6E"/>
    <w:rsid w:val="5D760AF8"/>
    <w:rsid w:val="5DD8141A"/>
    <w:rsid w:val="5DF65B28"/>
    <w:rsid w:val="5E041752"/>
    <w:rsid w:val="5E7068EA"/>
    <w:rsid w:val="5E7900F6"/>
    <w:rsid w:val="5EA875AD"/>
    <w:rsid w:val="5EFA3F2F"/>
    <w:rsid w:val="5F2B6DD2"/>
    <w:rsid w:val="5F76315F"/>
    <w:rsid w:val="5F7D3333"/>
    <w:rsid w:val="5FF501F7"/>
    <w:rsid w:val="609F7CCD"/>
    <w:rsid w:val="60C138E3"/>
    <w:rsid w:val="60F06516"/>
    <w:rsid w:val="611A363E"/>
    <w:rsid w:val="61385890"/>
    <w:rsid w:val="61E71BB1"/>
    <w:rsid w:val="62F1225B"/>
    <w:rsid w:val="631B255D"/>
    <w:rsid w:val="63A97597"/>
    <w:rsid w:val="63D82FED"/>
    <w:rsid w:val="64013CA9"/>
    <w:rsid w:val="64022588"/>
    <w:rsid w:val="6504510C"/>
    <w:rsid w:val="65314355"/>
    <w:rsid w:val="660B6D5A"/>
    <w:rsid w:val="66AD3BD4"/>
    <w:rsid w:val="671F7586"/>
    <w:rsid w:val="677333FD"/>
    <w:rsid w:val="679E28CC"/>
    <w:rsid w:val="67C45707"/>
    <w:rsid w:val="67E15CB8"/>
    <w:rsid w:val="68362CE8"/>
    <w:rsid w:val="687436E1"/>
    <w:rsid w:val="68DF16C0"/>
    <w:rsid w:val="696A5E49"/>
    <w:rsid w:val="69BF75B1"/>
    <w:rsid w:val="6A225AEB"/>
    <w:rsid w:val="6A521B7F"/>
    <w:rsid w:val="6B06459E"/>
    <w:rsid w:val="6B4C55F7"/>
    <w:rsid w:val="6B8020BC"/>
    <w:rsid w:val="6BB25D6B"/>
    <w:rsid w:val="6BEE02F1"/>
    <w:rsid w:val="6C703CE3"/>
    <w:rsid w:val="6CEB6FF1"/>
    <w:rsid w:val="6D0E0130"/>
    <w:rsid w:val="6DA45C50"/>
    <w:rsid w:val="6E5C3762"/>
    <w:rsid w:val="6E9A7825"/>
    <w:rsid w:val="6EB6550C"/>
    <w:rsid w:val="6EFF0CDC"/>
    <w:rsid w:val="6F670F9B"/>
    <w:rsid w:val="6FC65FE7"/>
    <w:rsid w:val="70043F21"/>
    <w:rsid w:val="70FF16CD"/>
    <w:rsid w:val="710A2DB6"/>
    <w:rsid w:val="71CA525E"/>
    <w:rsid w:val="71E11ACA"/>
    <w:rsid w:val="71FD1FBB"/>
    <w:rsid w:val="72055089"/>
    <w:rsid w:val="72937C49"/>
    <w:rsid w:val="729D4CD2"/>
    <w:rsid w:val="72A61621"/>
    <w:rsid w:val="732E067F"/>
    <w:rsid w:val="737450E0"/>
    <w:rsid w:val="73C56094"/>
    <w:rsid w:val="74054476"/>
    <w:rsid w:val="742F38C4"/>
    <w:rsid w:val="745C5B34"/>
    <w:rsid w:val="749D5963"/>
    <w:rsid w:val="74AB66DC"/>
    <w:rsid w:val="74C4154C"/>
    <w:rsid w:val="751A5F84"/>
    <w:rsid w:val="755B06A7"/>
    <w:rsid w:val="757F76BA"/>
    <w:rsid w:val="75847558"/>
    <w:rsid w:val="75937F0E"/>
    <w:rsid w:val="75956FFF"/>
    <w:rsid w:val="75A27CE1"/>
    <w:rsid w:val="75BE6B48"/>
    <w:rsid w:val="75EC58E3"/>
    <w:rsid w:val="761B0162"/>
    <w:rsid w:val="764E4CFF"/>
    <w:rsid w:val="76DD52D3"/>
    <w:rsid w:val="76F42856"/>
    <w:rsid w:val="776F00F4"/>
    <w:rsid w:val="77AA2D01"/>
    <w:rsid w:val="77C440BD"/>
    <w:rsid w:val="781F4E85"/>
    <w:rsid w:val="78FE477C"/>
    <w:rsid w:val="79827885"/>
    <w:rsid w:val="7ACF2137"/>
    <w:rsid w:val="7B043560"/>
    <w:rsid w:val="7B947CF5"/>
    <w:rsid w:val="7BA57EF4"/>
    <w:rsid w:val="7BAE073C"/>
    <w:rsid w:val="7CDE1DBD"/>
    <w:rsid w:val="7CEF7BF1"/>
    <w:rsid w:val="7D8A5F25"/>
    <w:rsid w:val="7D943A85"/>
    <w:rsid w:val="7DB0448C"/>
    <w:rsid w:val="7DD20489"/>
    <w:rsid w:val="7E5F9AA4"/>
    <w:rsid w:val="7FBE2FE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styleId="8">
    <w:name w:val="annotation subject"/>
    <w:basedOn w:val="2"/>
    <w:next w:val="2"/>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2"/>
    <w:qFormat/>
    <w:uiPriority w:val="0"/>
    <w:rPr>
      <w:kern w:val="2"/>
      <w:sz w:val="21"/>
      <w:szCs w:val="24"/>
    </w:rPr>
  </w:style>
  <w:style w:type="character" w:customStyle="1" w:styleId="14">
    <w:name w:val="批注框文本 Char"/>
    <w:link w:val="4"/>
    <w:qFormat/>
    <w:uiPriority w:val="0"/>
    <w:rPr>
      <w:kern w:val="2"/>
      <w:sz w:val="18"/>
      <w:szCs w:val="18"/>
    </w:rPr>
  </w:style>
  <w:style w:type="character" w:customStyle="1" w:styleId="15">
    <w:name w:val="页眉 Char"/>
    <w:link w:val="6"/>
    <w:qFormat/>
    <w:uiPriority w:val="0"/>
    <w:rPr>
      <w:kern w:val="2"/>
      <w:sz w:val="18"/>
      <w:szCs w:val="18"/>
    </w:rPr>
  </w:style>
  <w:style w:type="character" w:customStyle="1" w:styleId="16">
    <w:name w:val="批注主题 Char"/>
    <w:link w:val="8"/>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15</TotalTime>
  <ScaleCrop>false</ScaleCrop>
  <LinksUpToDate>false</LinksUpToDate>
  <CharactersWithSpaces>10549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2024-07-24T19:26:00Z</dcterms:created>
  <dc:creator>uos</dc:creator>
  <cp:lastModifiedBy>user</cp:lastModifiedBy>
  <cp:lastPrinted>2023-08-03T16:58:00Z</cp:lastPrinted>
  <dcterms:modified xsi:type="dcterms:W3CDTF">2025-11-06T11:38:37Z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