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w:t>
      </w:r>
      <w:r>
        <w:rPr>
          <w:rFonts w:hint="eastAsia" w:asciiTheme="majorEastAsia" w:hAnsiTheme="majorEastAsia" w:eastAsiaTheme="majorEastAsia" w:cstheme="majorEastAsia"/>
          <w:b/>
          <w:bCs/>
          <w:color w:val="auto"/>
          <w:sz w:val="44"/>
          <w:szCs w:val="44"/>
          <w:lang w:val="en-US" w:eastAsia="zh-CN"/>
        </w:rPr>
        <w:t>完全小学</w:t>
      </w:r>
      <w:r>
        <w:rPr>
          <w:rFonts w:hint="eastAsia" w:asciiTheme="majorEastAsia" w:hAnsiTheme="majorEastAsia" w:eastAsiaTheme="majorEastAsia" w:cstheme="majorEastAsia"/>
          <w:b/>
          <w:bCs/>
          <w:color w:val="auto"/>
          <w:sz w:val="44"/>
          <w:szCs w:val="44"/>
        </w:rPr>
        <w:t>2024年度部门决算公开报告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7"/>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23465_WPSOffice_Level1"/>
      <w:bookmarkStart w:id="3" w:name="_Toc22941_WPSOffice_Level1"/>
      <w:bookmarkStart w:id="4" w:name="_Toc1704_WPSOffice_Level1"/>
      <w:bookmarkStart w:id="5" w:name="_Toc10720_WPSOffice_Level1"/>
      <w:bookmarkStart w:id="6" w:name="_Toc32433_WPSOffice_Level1"/>
      <w:bookmarkStart w:id="7" w:name="_Toc10049_WPSOffice_Level1"/>
      <w:bookmarkStart w:id="8" w:name="_Toc24238_WPSOffice_Level2"/>
      <w:bookmarkStart w:id="9" w:name="_Toc26580_WPSOffice_Level2"/>
      <w:bookmarkStart w:id="10" w:name="_Toc32622_WPSOffice_Level2"/>
      <w:bookmarkStart w:id="11" w:name="_Toc20205_WPSOffice_Level2"/>
      <w:bookmarkStart w:id="12" w:name="_Toc14159_WPSOffice_Level2"/>
      <w:bookmarkStart w:id="13" w:name="_Toc20274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spacing w:line="578" w:lineRule="exact"/>
        <w:ind w:firstLine="640" w:firstLineChars="200"/>
        <w:rPr>
          <w:rFonts w:hint="eastAsia" w:ascii="楷体" w:hAnsi="楷体" w:eastAsia="楷体" w:cs="楷体"/>
          <w:color w:val="auto"/>
          <w:sz w:val="32"/>
          <w:szCs w:val="32"/>
          <w:lang w:eastAsia="zh-CN"/>
        </w:rPr>
      </w:pPr>
      <w:r>
        <w:rPr>
          <w:rFonts w:hint="eastAsia" w:ascii="黑体" w:hAnsi="黑体" w:eastAsia="黑体" w:cs="黑体"/>
          <w:color w:val="auto"/>
          <w:sz w:val="32"/>
          <w:szCs w:val="32"/>
        </w:rPr>
        <w:t>一、部门</w:t>
      </w:r>
      <w:bookmarkEnd w:id="8"/>
      <w:r>
        <w:rPr>
          <w:rFonts w:hint="eastAsia" w:ascii="黑体" w:hAnsi="黑体" w:eastAsia="黑体" w:cs="黑体"/>
          <w:color w:val="auto"/>
          <w:sz w:val="32"/>
          <w:szCs w:val="32"/>
        </w:rPr>
        <w:t>（单位）职责</w:t>
      </w:r>
      <w:bookmarkEnd w:id="9"/>
      <w:bookmarkEnd w:id="10"/>
      <w:bookmarkEnd w:id="11"/>
      <w:bookmarkEnd w:id="12"/>
      <w:bookmarkEnd w:id="13"/>
      <w:bookmarkStart w:id="14" w:name="_Toc6572_WPSOffice_Level2"/>
      <w:bookmarkStart w:id="15" w:name="_Toc4833_WPSOffice_Level2"/>
      <w:bookmarkStart w:id="16" w:name="_Toc24474_WPSOffice_Level2"/>
      <w:bookmarkStart w:id="17" w:name="_Toc17796_WPSOffice_Level2"/>
      <w:bookmarkStart w:id="18" w:name="_Toc24059_WPSOffice_Level2"/>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sz w:val="32"/>
          <w:szCs w:val="32"/>
        </w:rPr>
      </w:pPr>
      <w:r>
        <w:rPr>
          <w:rFonts w:hint="eastAsia" w:ascii="宋体" w:hAnsi="宋体"/>
          <w:sz w:val="32"/>
          <w:szCs w:val="32"/>
        </w:rPr>
        <w:t>⒈</w:t>
      </w:r>
      <w:r>
        <w:rPr>
          <w:rFonts w:hint="eastAsia" w:ascii="仿宋_GB2312" w:eastAsia="仿宋_GB2312"/>
          <w:sz w:val="32"/>
          <w:szCs w:val="32"/>
        </w:rPr>
        <w:t>认真贯彻落实党和国家的方针、政策，正确执行上级主管部门的决议和指示，全面实施素质教育，培养德、智、体、美等方面全面发展的社会主义事业的建设者和接班人。</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sz w:val="32"/>
          <w:szCs w:val="32"/>
        </w:rPr>
      </w:pPr>
      <w:r>
        <w:rPr>
          <w:rFonts w:hint="eastAsia" w:ascii="宋体" w:hAnsi="宋体"/>
          <w:sz w:val="32"/>
          <w:szCs w:val="32"/>
        </w:rPr>
        <w:t>⒉</w:t>
      </w:r>
      <w:r>
        <w:rPr>
          <w:rFonts w:hint="eastAsia" w:ascii="仿宋_GB2312" w:eastAsia="仿宋_GB2312"/>
          <w:sz w:val="32"/>
          <w:szCs w:val="32"/>
        </w:rPr>
        <w:t>做好基础教育，负责实施义务教育阶段一年级至六年级文化、素质教育。</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宋体" w:eastAsia="仿宋_GB2312"/>
          <w:sz w:val="32"/>
          <w:szCs w:val="32"/>
        </w:rPr>
      </w:pPr>
      <w:r>
        <w:rPr>
          <w:rFonts w:hint="eastAsia" w:ascii="宋体" w:hAnsi="宋体"/>
          <w:sz w:val="32"/>
          <w:szCs w:val="32"/>
        </w:rPr>
        <w:t>⒊</w:t>
      </w:r>
      <w:r>
        <w:rPr>
          <w:rFonts w:hint="eastAsia" w:ascii="仿宋_GB2312" w:hAnsi="宋体" w:eastAsia="仿宋_GB2312"/>
          <w:sz w:val="32"/>
          <w:szCs w:val="32"/>
        </w:rPr>
        <w:t>根据教育规律、社会要求和学校实际，组织制定学校发展的远景规划、近期目标、学年和学期各项工作计划以及工作指标并组织实施。</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宋体" w:eastAsia="仿宋_GB2312"/>
          <w:sz w:val="32"/>
          <w:szCs w:val="32"/>
        </w:rPr>
      </w:pPr>
      <w:r>
        <w:rPr>
          <w:rFonts w:hint="eastAsia" w:ascii="宋体" w:hAnsi="宋体"/>
          <w:sz w:val="32"/>
          <w:szCs w:val="32"/>
        </w:rPr>
        <w:t>⒋</w:t>
      </w:r>
      <w:r>
        <w:rPr>
          <w:rFonts w:hint="eastAsia" w:ascii="仿宋_GB2312" w:hAnsi="宋体" w:eastAsia="仿宋_GB2312"/>
          <w:sz w:val="32"/>
          <w:szCs w:val="32"/>
        </w:rPr>
        <w:t>加强学校科学化管理，制定和健全各项规章制度，规范办学行为，培养良好校风，逐步实现管理决策的科学化，管理方法的定量化和管理手段的现代化。</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宋体" w:eastAsia="仿宋_GB2312"/>
          <w:sz w:val="32"/>
          <w:szCs w:val="32"/>
        </w:rPr>
      </w:pPr>
      <w:r>
        <w:rPr>
          <w:rFonts w:hint="eastAsia" w:ascii="宋体" w:hAnsi="宋体"/>
          <w:sz w:val="32"/>
          <w:szCs w:val="32"/>
        </w:rPr>
        <w:t>⒌</w:t>
      </w:r>
      <w:r>
        <w:rPr>
          <w:rFonts w:hint="eastAsia" w:ascii="仿宋_GB2312" w:hAnsi="宋体" w:eastAsia="仿宋_GB2312"/>
          <w:sz w:val="32"/>
          <w:szCs w:val="32"/>
        </w:rPr>
        <w:t>负责教师队伍建设工作，决定校内教职工的工作安排，组织对教职工进行考核、实施奖惩。</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宋体" w:eastAsia="仿宋_GB2312"/>
          <w:sz w:val="32"/>
          <w:szCs w:val="32"/>
        </w:rPr>
      </w:pPr>
      <w:r>
        <w:rPr>
          <w:rFonts w:hint="eastAsia" w:ascii="宋体" w:hAnsi="宋体"/>
          <w:sz w:val="32"/>
          <w:szCs w:val="32"/>
        </w:rPr>
        <w:t>⒍</w:t>
      </w:r>
      <w:r>
        <w:rPr>
          <w:rFonts w:hint="eastAsia" w:ascii="仿宋_GB2312" w:hAnsi="宋体" w:eastAsia="仿宋_GB2312"/>
          <w:sz w:val="32"/>
          <w:szCs w:val="32"/>
        </w:rPr>
        <w:t>制定教师队伍建设规划，不断提高他们的政治素质、文化业务水平和科研水平。</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hAnsi="宋体" w:eastAsia="仿宋_GB2312"/>
          <w:sz w:val="32"/>
          <w:szCs w:val="32"/>
        </w:rPr>
      </w:pPr>
      <w:r>
        <w:rPr>
          <w:rFonts w:hint="eastAsia" w:ascii="宋体" w:hAnsi="宋体"/>
          <w:sz w:val="32"/>
          <w:szCs w:val="32"/>
        </w:rPr>
        <w:t>⒎</w:t>
      </w:r>
      <w:r>
        <w:rPr>
          <w:rFonts w:hint="eastAsia" w:ascii="仿宋_GB2312" w:hAnsi="宋体" w:eastAsia="仿宋_GB2312"/>
          <w:sz w:val="32"/>
          <w:szCs w:val="32"/>
        </w:rPr>
        <w:t>领导和组织学校的思想政治工作，把德育工作放在首位。</w:t>
      </w:r>
    </w:p>
    <w:p>
      <w:p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14"/>
      <w:bookmarkEnd w:id="15"/>
      <w:bookmarkEnd w:id="16"/>
      <w:bookmarkEnd w:id="17"/>
      <w:bookmarkEnd w:id="18"/>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sz w:val="32"/>
          <w:szCs w:val="32"/>
        </w:rPr>
      </w:pPr>
      <w:bookmarkStart w:id="19" w:name="_Toc30451_WPSOffice_Level1"/>
      <w:bookmarkStart w:id="20" w:name="_Toc28253_WPSOffice_Level1"/>
      <w:bookmarkStart w:id="21" w:name="_Toc8164_WPSOffice_Level1"/>
      <w:bookmarkStart w:id="22" w:name="_Toc30690_WPSOffice_Level1"/>
      <w:bookmarkStart w:id="23" w:name="_Toc6234_WPSOffice_Level1"/>
      <w:bookmarkStart w:id="24" w:name="_Toc15521_WPSOffice_Level1"/>
      <w:bookmarkStart w:id="25" w:name="_Toc4029_WPSOffice_Level2"/>
      <w:bookmarkStart w:id="26" w:name="_Toc32472_WPSOffice_Level2"/>
      <w:bookmarkStart w:id="27" w:name="_Toc8867_WPSOffice_Level2"/>
      <w:bookmarkStart w:id="28" w:name="_Toc32695_WPSOffice_Level2"/>
      <w:bookmarkStart w:id="29" w:name="_Toc11518_WPSOffice_Level2"/>
      <w:bookmarkStart w:id="30" w:name="_Toc6211_WPSOffice_Level2"/>
      <w:r>
        <w:rPr>
          <w:rFonts w:hint="eastAsia" w:ascii="仿宋_GB2312" w:eastAsia="仿宋_GB2312"/>
          <w:sz w:val="32"/>
          <w:szCs w:val="32"/>
        </w:rPr>
        <w:t>墨脱县完全小学设有党支部、党建办、校办、教务处、德育处、总务处、少队、安全办、工会。</w:t>
      </w:r>
    </w:p>
    <w:p>
      <w:pPr>
        <w:numPr>
          <w:ilvl w:val="0"/>
          <w:numId w:val="2"/>
        </w:numPr>
        <w:spacing w:line="578" w:lineRule="exact"/>
        <w:jc w:val="center"/>
        <w:rPr>
          <w:rFonts w:hint="eastAsia" w:ascii="黑体" w:hAnsi="ˎ̥" w:eastAsia="黑体"/>
          <w:color w:val="auto"/>
          <w:sz w:val="32"/>
          <w:szCs w:val="32"/>
        </w:rPr>
        <w:sectPr>
          <w:footerReference r:id="rId3" w:type="default"/>
          <w:footerReference r:id="rId4" w:type="even"/>
          <w:pgSz w:w="11906" w:h="16838"/>
          <w:pgMar w:top="2098" w:right="1474" w:bottom="1984" w:left="1587" w:header="851" w:footer="992" w:gutter="0"/>
          <w:cols w:space="720" w:num="1"/>
          <w:docGrid w:type="lines" w:linePitch="312" w:charSpace="0"/>
        </w:sectPr>
      </w:pPr>
      <w:r>
        <w:rPr>
          <w:rFonts w:hint="eastAsia" w:ascii="黑体" w:hAnsi="ˎ̥" w:eastAsia="黑体"/>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bookmarkEnd w:id="25"/>
    <w:bookmarkEnd w:id="26"/>
    <w:bookmarkEnd w:id="27"/>
    <w:bookmarkEnd w:id="28"/>
    <w:bookmarkEnd w:id="29"/>
    <w:bookmarkEnd w:id="30"/>
    <w:p>
      <w:pPr>
        <w:spacing w:line="578" w:lineRule="exact"/>
        <w:rPr>
          <w:rFonts w:hint="eastAsia" w:ascii="黑体" w:hAnsi="黑体" w:eastAsia="黑体" w:cs="黑体"/>
          <w:color w:val="auto"/>
          <w:sz w:val="32"/>
          <w:szCs w:val="32"/>
        </w:rPr>
      </w:pPr>
      <w:bookmarkStart w:id="31" w:name="_Toc30334_WPSOffice_Level2"/>
      <w:bookmarkStart w:id="32" w:name="_Toc28622_WPSOffice_Level2"/>
      <w:bookmarkStart w:id="33" w:name="_Toc23139_WPSOffice_Level2"/>
      <w:bookmarkStart w:id="34" w:name="_Toc25608_WPSOffice_Level2"/>
      <w:bookmarkStart w:id="35" w:name="_Toc14349_WPSOffice_Level2"/>
      <w:bookmarkStart w:id="36" w:name="_Toc26621_WPSOffice_Level2"/>
    </w:p>
    <w:tbl>
      <w:tblPr>
        <w:tblStyle w:val="9"/>
        <w:tblW w:w="126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3"/>
        <w:gridCol w:w="1053"/>
        <w:gridCol w:w="1247"/>
        <w:gridCol w:w="405"/>
        <w:gridCol w:w="810"/>
        <w:gridCol w:w="1260"/>
        <w:gridCol w:w="832"/>
        <w:gridCol w:w="1053"/>
        <w:gridCol w:w="980"/>
        <w:gridCol w:w="495"/>
        <w:gridCol w:w="1185"/>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5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附件1-1</w:t>
            </w:r>
          </w:p>
        </w:tc>
        <w:tc>
          <w:tcPr>
            <w:tcW w:w="1053"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5"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2"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3"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5"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5"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35"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12608"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0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4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23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828"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部门(单位)：墨脱县完全小学</w:t>
            </w:r>
          </w:p>
        </w:tc>
        <w:tc>
          <w:tcPr>
            <w:tcW w:w="83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1053"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980"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95"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1185"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223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582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67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2,256.85</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2,256.85</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使用非财政拨款结余（含专用结余）</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46.16</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2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58"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8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2,303.01</w:t>
            </w:r>
          </w:p>
        </w:tc>
        <w:tc>
          <w:tcPr>
            <w:tcW w:w="3360"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1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22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2608" w:type="dxa"/>
            <w:gridSpan w:val="12"/>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注：1.本表反映部门（单位）本年度的总收支和年末结转结余情况。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2608" w:type="dxa"/>
            <w:gridSpan w:val="12"/>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tbl>
      <w:tblPr>
        <w:tblStyle w:val="9"/>
        <w:tblW w:w="54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00"/>
        <w:gridCol w:w="241"/>
        <w:gridCol w:w="455"/>
        <w:gridCol w:w="3014"/>
        <w:gridCol w:w="1324"/>
        <w:gridCol w:w="1362"/>
        <w:gridCol w:w="1283"/>
        <w:gridCol w:w="1099"/>
        <w:gridCol w:w="1340"/>
        <w:gridCol w:w="1875"/>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60"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附件1-2</w:t>
            </w:r>
          </w:p>
        </w:tc>
        <w:tc>
          <w:tcPr>
            <w:tcW w:w="109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5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9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5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929"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部门(单位)：墨脱县完全小学</w:t>
            </w:r>
          </w:p>
        </w:tc>
        <w:tc>
          <w:tcPr>
            <w:tcW w:w="956"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97"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84"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678"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财政拨款收入</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上级补助收入</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事业收入</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经营收入</w:t>
            </w: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附属单位上缴收入</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6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0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2,256.85</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2,256.85</w:t>
            </w:r>
          </w:p>
        </w:tc>
        <w:tc>
          <w:tcPr>
            <w:tcW w:w="4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1,753.68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1,753.68</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1,753.68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1,753.68</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1,753.68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1,753.68</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190.12</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93.49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93.49</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140.99</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78.57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78.57</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注：本表反映部门（单位）本年度取得的各项收入情况。</w:t>
            </w:r>
          </w:p>
        </w:tc>
      </w:tr>
    </w:tbl>
    <w:p>
      <w:pPr>
        <w:bidi w:val="0"/>
        <w:rPr>
          <w:rFonts w:hint="eastAsia" w:ascii="Times New Roman" w:hAnsi="Times New Roman" w:eastAsia="宋体" w:cs="Times New Roman"/>
          <w:color w:val="auto"/>
          <w:kern w:val="2"/>
          <w:sz w:val="21"/>
          <w:szCs w:val="24"/>
          <w:lang w:val="en-US" w:eastAsia="zh-CN" w:bidi="ar-SA"/>
        </w:rPr>
      </w:pPr>
    </w:p>
    <w:tbl>
      <w:tblPr>
        <w:tblStyle w:val="9"/>
        <w:tblW w:w="524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
        <w:gridCol w:w="378"/>
        <w:gridCol w:w="254"/>
        <w:gridCol w:w="147"/>
        <w:gridCol w:w="818"/>
        <w:gridCol w:w="1038"/>
        <w:gridCol w:w="395"/>
        <w:gridCol w:w="1143"/>
        <w:gridCol w:w="48"/>
        <w:gridCol w:w="917"/>
        <w:gridCol w:w="505"/>
        <w:gridCol w:w="463"/>
        <w:gridCol w:w="849"/>
        <w:gridCol w:w="104"/>
        <w:gridCol w:w="130"/>
        <w:gridCol w:w="768"/>
        <w:gridCol w:w="516"/>
        <w:gridCol w:w="706"/>
        <w:gridCol w:w="700"/>
        <w:gridCol w:w="641"/>
        <w:gridCol w:w="728"/>
        <w:gridCol w:w="660"/>
        <w:gridCol w:w="1566"/>
        <w:gridCol w:w="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360" w:hRule="atLeast"/>
        </w:trPr>
        <w:tc>
          <w:tcPr>
            <w:tcW w:w="394"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附件1-3</w:t>
            </w:r>
          </w:p>
        </w:tc>
        <w:tc>
          <w:tcPr>
            <w:tcW w:w="1218" w:type="pct"/>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4"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8"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5"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488" w:hRule="atLeast"/>
        </w:trPr>
        <w:tc>
          <w:tcPr>
            <w:tcW w:w="4893" w:type="pct"/>
            <w:gridSpan w:val="2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288" w:hRule="atLeast"/>
        </w:trPr>
        <w:tc>
          <w:tcPr>
            <w:tcW w:w="1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8" w:type="pct"/>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4"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8"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5"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7"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288" w:hRule="atLeast"/>
        </w:trPr>
        <w:tc>
          <w:tcPr>
            <w:tcW w:w="2118" w:type="pct"/>
            <w:gridSpan w:val="11"/>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部门(单位)：墨脱县完全小学</w:t>
            </w:r>
          </w:p>
        </w:tc>
        <w:tc>
          <w:tcPr>
            <w:tcW w:w="501"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501" w:type="pct"/>
            <w:gridSpan w:val="3"/>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498"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85"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787"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323" w:hRule="atLeast"/>
        </w:trPr>
        <w:tc>
          <w:tcPr>
            <w:tcW w:w="39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218" w:type="pct"/>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5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0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50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4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上缴上级支出</w:t>
            </w:r>
          </w:p>
        </w:tc>
        <w:tc>
          <w:tcPr>
            <w:tcW w:w="48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经营支出</w:t>
            </w:r>
          </w:p>
        </w:tc>
        <w:tc>
          <w:tcPr>
            <w:tcW w:w="7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323" w:hRule="atLeast"/>
        </w:trPr>
        <w:tc>
          <w:tcPr>
            <w:tcW w:w="39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1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0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0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323" w:hRule="atLeast"/>
        </w:trPr>
        <w:tc>
          <w:tcPr>
            <w:tcW w:w="11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3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41"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21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8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323" w:hRule="atLeast"/>
        </w:trPr>
        <w:tc>
          <w:tcPr>
            <w:tcW w:w="11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1"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1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2,303.01</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1,922.90</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380.11</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240" w:hRule="atLeast"/>
        </w:trPr>
        <w:tc>
          <w:tcPr>
            <w:tcW w:w="39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21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1,799.83</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1,419.72</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380.11</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240" w:hRule="atLeast"/>
        </w:trPr>
        <w:tc>
          <w:tcPr>
            <w:tcW w:w="39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21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1,799.83</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1,419.72</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380.11</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240" w:hRule="atLeast"/>
        </w:trPr>
        <w:tc>
          <w:tcPr>
            <w:tcW w:w="39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21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1,799.83</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1,419.72</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380.11</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240" w:hRule="atLeast"/>
        </w:trPr>
        <w:tc>
          <w:tcPr>
            <w:tcW w:w="39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21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240" w:hRule="atLeast"/>
        </w:trPr>
        <w:tc>
          <w:tcPr>
            <w:tcW w:w="39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21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240" w:hRule="atLeast"/>
        </w:trPr>
        <w:tc>
          <w:tcPr>
            <w:tcW w:w="39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21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190.12</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190.12</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240" w:hRule="atLeast"/>
        </w:trPr>
        <w:tc>
          <w:tcPr>
            <w:tcW w:w="39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21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240" w:hRule="atLeast"/>
        </w:trPr>
        <w:tc>
          <w:tcPr>
            <w:tcW w:w="39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21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240" w:hRule="atLeast"/>
        </w:trPr>
        <w:tc>
          <w:tcPr>
            <w:tcW w:w="39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21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93.49</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93.49</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240" w:hRule="atLeast"/>
        </w:trPr>
        <w:tc>
          <w:tcPr>
            <w:tcW w:w="39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21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240" w:hRule="atLeast"/>
        </w:trPr>
        <w:tc>
          <w:tcPr>
            <w:tcW w:w="39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21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240" w:hRule="atLeast"/>
        </w:trPr>
        <w:tc>
          <w:tcPr>
            <w:tcW w:w="39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21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140.99</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140.99</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240" w:hRule="atLeast"/>
        </w:trPr>
        <w:tc>
          <w:tcPr>
            <w:tcW w:w="394" w:type="pct"/>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218" w:type="pct"/>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504" w:type="pct"/>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78.57</w:t>
            </w:r>
          </w:p>
        </w:tc>
        <w:tc>
          <w:tcPr>
            <w:tcW w:w="501"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78.57</w:t>
            </w:r>
          </w:p>
        </w:tc>
        <w:tc>
          <w:tcPr>
            <w:tcW w:w="501"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8" w:type="pct"/>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5" w:type="pct"/>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6" w:type="pct"/>
          <w:trHeight w:val="312" w:hRule="atLeast"/>
        </w:trPr>
        <w:tc>
          <w:tcPr>
            <w:tcW w:w="4893" w:type="pct"/>
            <w:gridSpan w:val="2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42"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附件1-4</w:t>
            </w:r>
          </w:p>
        </w:tc>
        <w:tc>
          <w:tcPr>
            <w:tcW w:w="34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3"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5"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2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42"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3"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5"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82" w:type="pct"/>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部门(单位)：墨脱县完全小学</w:t>
            </w:r>
          </w:p>
        </w:tc>
        <w:tc>
          <w:tcPr>
            <w:tcW w:w="384"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72"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33"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75"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92"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659"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597"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3402" w:type="pct"/>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052" w:type="pct"/>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14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40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一般公共预算财政拨款</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政府性基金预算财政拨款</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2,256.85</w:t>
            </w: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1,799.83</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1,799.83</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190.12</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190.12</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93.49</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93.49</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219.56</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219.56</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2,256.85</w:t>
            </w: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2,303.01</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2,303.01</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46.16</w:t>
            </w: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46.16</w:t>
            </w: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2,303.01</w:t>
            </w:r>
          </w:p>
        </w:tc>
        <w:tc>
          <w:tcPr>
            <w:tcW w:w="106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2,303.01</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2,303.01</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5000" w:type="pct"/>
            <w:gridSpan w:val="2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注：本表反映部门（单位）本年度一般公共预算财政拨款、政府性基金预算财政拨款和国有资本经营预算财政拨款的总收支和年末结转结余情况。</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5466" w:type="pct"/>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4"/>
        <w:gridCol w:w="248"/>
        <w:gridCol w:w="350"/>
        <w:gridCol w:w="1316"/>
        <w:gridCol w:w="715"/>
        <w:gridCol w:w="519"/>
        <w:gridCol w:w="669"/>
        <w:gridCol w:w="974"/>
        <w:gridCol w:w="870"/>
        <w:gridCol w:w="795"/>
        <w:gridCol w:w="885"/>
        <w:gridCol w:w="975"/>
        <w:gridCol w:w="855"/>
        <w:gridCol w:w="810"/>
        <w:gridCol w:w="825"/>
        <w:gridCol w:w="1315"/>
        <w:gridCol w:w="1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72"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附件1-5</w:t>
            </w:r>
          </w:p>
        </w:tc>
        <w:tc>
          <w:tcPr>
            <w:tcW w:w="47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5000" w:type="pct"/>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1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6"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183"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部门(单位)：墨脱县完全小学</w:t>
            </w:r>
          </w:p>
        </w:tc>
        <w:tc>
          <w:tcPr>
            <w:tcW w:w="6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4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68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9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97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56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8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8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46.16</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46.16</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2,256.85</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1,922.90</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333.95</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2,303.01</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1,922.90</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380.11</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46.16</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46.16</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1,753.68</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1,419.72</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333.95</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1,799.83</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1,419.72</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380.11</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46.16</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46.16</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1,753.68</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1,419.72</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333.95</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1,799.83</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1,419.72</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380.11</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46.16</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46.16</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1,753.68</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1,419.72</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333.95</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1,799.83</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1,419.72</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380.11</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190.12</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190.12</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190.12</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190.12</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190.12</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93.49</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93.49</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93.49</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93.49</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93.49</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219.56</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140.99</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140.99</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140.99</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140.99</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78.57</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78.57</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78.57</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78.57</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7"/>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注：本表反映部门（单位）本年度一般公共预算财政拨款收入支出情况。</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shd w:val="clea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tbl>
      <w:tblPr>
        <w:tblStyle w:val="9"/>
        <w:tblW w:w="51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2"/>
        <w:gridCol w:w="1854"/>
        <w:gridCol w:w="522"/>
        <w:gridCol w:w="1028"/>
        <w:gridCol w:w="867"/>
        <w:gridCol w:w="1842"/>
        <w:gridCol w:w="401"/>
        <w:gridCol w:w="759"/>
        <w:gridCol w:w="957"/>
        <w:gridCol w:w="1847"/>
        <w:gridCol w:w="817"/>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2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附件1-6</w:t>
            </w:r>
          </w:p>
        </w:tc>
        <w:tc>
          <w:tcPr>
            <w:tcW w:w="7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一般公共预算财政拨款基本支出决算公开表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2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4"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941"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部门(单位)：墨脱县完全小学</w:t>
            </w:r>
          </w:p>
        </w:tc>
        <w:tc>
          <w:tcPr>
            <w:tcW w:w="699"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2024年度</w:t>
            </w:r>
          </w:p>
        </w:tc>
        <w:tc>
          <w:tcPr>
            <w:tcW w:w="1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2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54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70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31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54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0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1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4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1,838.13</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79.97</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246.50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945.23</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177.82</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190.12</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93.49</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140.99</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29.47</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39909</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公务用车运行维护费</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39910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其他商品和服务支出</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1,840.76</w:t>
            </w:r>
          </w:p>
        </w:tc>
        <w:tc>
          <w:tcPr>
            <w:tcW w:w="2532"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注：本表反映部门（单位）本年度一般公共预算财政拨款基本支出明细情况。</w:t>
            </w:r>
          </w:p>
        </w:tc>
      </w:tr>
    </w:tbl>
    <w:p>
      <w:pPr>
        <w:tabs>
          <w:tab w:val="left" w:pos="454"/>
        </w:tabs>
        <w:bidi w:val="0"/>
        <w:jc w:val="left"/>
        <w:rPr>
          <w:rFonts w:hint="eastAsia"/>
          <w:color w:val="auto"/>
          <w:lang w:val="en-US" w:eastAsia="zh-CN"/>
        </w:rPr>
      </w:pPr>
    </w:p>
    <w:tbl>
      <w:tblPr>
        <w:tblStyle w:val="9"/>
        <w:tblW w:w="52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6"/>
        <w:gridCol w:w="264"/>
        <w:gridCol w:w="248"/>
        <w:gridCol w:w="695"/>
        <w:gridCol w:w="360"/>
        <w:gridCol w:w="795"/>
        <w:gridCol w:w="1335"/>
        <w:gridCol w:w="885"/>
        <w:gridCol w:w="812"/>
        <w:gridCol w:w="815"/>
        <w:gridCol w:w="788"/>
        <w:gridCol w:w="660"/>
        <w:gridCol w:w="885"/>
        <w:gridCol w:w="615"/>
        <w:gridCol w:w="990"/>
        <w:gridCol w:w="139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285"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附件1-7</w:t>
            </w:r>
          </w:p>
        </w:tc>
        <w:tc>
          <w:tcPr>
            <w:tcW w:w="2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3867" w:type="pct"/>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政府性基金预算财政拨款收入支出决算公开表</w:t>
            </w:r>
          </w:p>
        </w:tc>
        <w:tc>
          <w:tcPr>
            <w:tcW w:w="5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9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9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3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9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9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0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0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4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2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6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469"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部门(单位)：墨脱县完全小学</w:t>
            </w:r>
          </w:p>
        </w:tc>
        <w:tc>
          <w:tcPr>
            <w:tcW w:w="63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4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61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25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925"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933"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867"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728" w:type="pct"/>
            <w:gridSpan w:val="4"/>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28"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1132" w:type="pct"/>
            <w:gridSpan w:val="2"/>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9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98"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92"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33" w:type="pct"/>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368" w:type="pct"/>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518" w:type="pct"/>
            <w:tcBorders>
              <w:top w:val="nil"/>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613" w:type="pct"/>
            <w:tcBorders>
              <w:top w:val="nil"/>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9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8"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2"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8"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1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7"/>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注：本表反映部门（单位）本年度政府性基金预算财政拨款收入支出情况。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sectPr>
          <w:pgSz w:w="16838" w:h="11906" w:orient="landscape"/>
          <w:pgMar w:top="1587" w:right="2098" w:bottom="1474" w:left="1984" w:header="851" w:footer="992" w:gutter="0"/>
          <w:cols w:space="0" w:num="1"/>
          <w:rtlGutter w:val="0"/>
          <w:docGrid w:type="lines" w:linePitch="315" w:charSpace="0"/>
        </w:sectPr>
      </w:pPr>
    </w:p>
    <w:p>
      <w:pPr>
        <w:spacing w:line="578" w:lineRule="exact"/>
        <w:rPr>
          <w:rFonts w:hint="eastAsia" w:ascii="黑体" w:hAnsi="黑体" w:eastAsia="黑体" w:cs="黑体"/>
          <w:color w:val="auto"/>
          <w:sz w:val="32"/>
          <w:szCs w:val="32"/>
          <w:lang w:eastAsia="zh-CN"/>
        </w:rPr>
      </w:pPr>
    </w:p>
    <w:tbl>
      <w:tblPr>
        <w:tblStyle w:val="9"/>
        <w:tblW w:w="130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56"/>
        <w:gridCol w:w="480"/>
        <w:gridCol w:w="408"/>
        <w:gridCol w:w="1560"/>
        <w:gridCol w:w="1020"/>
        <w:gridCol w:w="1065"/>
        <w:gridCol w:w="1140"/>
        <w:gridCol w:w="1469"/>
        <w:gridCol w:w="976"/>
        <w:gridCol w:w="1080"/>
        <w:gridCol w:w="945"/>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344"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附件1-8</w:t>
            </w:r>
          </w:p>
        </w:tc>
        <w:tc>
          <w:tcPr>
            <w:tcW w:w="156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2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6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6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7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4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7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13073"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国有资本经营预算财政拨款收入支出决算公开表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5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8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0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56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2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6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14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469"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9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94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47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498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部门(单位)：墨脱县完全小学</w:t>
            </w:r>
          </w:p>
        </w:tc>
        <w:tc>
          <w:tcPr>
            <w:tcW w:w="2609"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97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94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47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44" w:type="dxa"/>
            <w:gridSpan w:val="3"/>
            <w:vMerge w:val="restart"/>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5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3225" w:type="dxa"/>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4499" w:type="dxa"/>
            <w:gridSpan w:val="3"/>
            <w:tcBorders>
              <w:top w:val="single" w:color="000000" w:sz="4" w:space="0"/>
              <w:left w:val="nil"/>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44" w:type="dxa"/>
            <w:gridSpan w:val="3"/>
            <w:vMerge w:val="continue"/>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11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4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4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408"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4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0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073"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注：本表反映部门（单位）本年度国有资本经营预算财政拨款收入支出情况。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073"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tbl>
      <w:tblPr>
        <w:tblStyle w:val="9"/>
        <w:tblW w:w="533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9"/>
        <w:gridCol w:w="1544"/>
        <w:gridCol w:w="605"/>
        <w:gridCol w:w="1050"/>
        <w:gridCol w:w="1145"/>
        <w:gridCol w:w="985"/>
        <w:gridCol w:w="750"/>
        <w:gridCol w:w="1335"/>
        <w:gridCol w:w="630"/>
        <w:gridCol w:w="1560"/>
        <w:gridCol w:w="192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7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附件1-9</w:t>
            </w:r>
          </w:p>
        </w:tc>
        <w:tc>
          <w:tcPr>
            <w:tcW w:w="5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2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1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3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7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0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财政拨款“三公”经费支出决算公开表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27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6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2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8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1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6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7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8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3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7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70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5"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23"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部门(单位)：墨脱县完全小学 </w:t>
            </w:r>
          </w:p>
        </w:tc>
        <w:tc>
          <w:tcPr>
            <w:tcW w:w="764"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3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7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7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05"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23" w:type="pct"/>
            <w:gridSpan w:val="6"/>
            <w:tcBorders>
              <w:top w:val="single" w:color="000000" w:sz="4" w:space="0"/>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2776" w:type="pct"/>
            <w:gridSpan w:val="6"/>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65" w:type="pct"/>
            <w:vMerge w:val="restart"/>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026" w:type="pct"/>
            <w:gridSpan w:val="3"/>
            <w:tcBorders>
              <w:top w:val="nil"/>
              <w:left w:val="nil"/>
              <w:bottom w:val="nil"/>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360" w:type="pct"/>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506"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65" w:type="pct"/>
            <w:vMerge w:val="continue"/>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419"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360" w:type="pct"/>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571"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70" w:type="pct"/>
            <w:tcBorders>
              <w:top w:val="nil"/>
              <w:left w:val="single" w:color="808080" w:sz="4" w:space="0"/>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65" w:type="pct"/>
            <w:tcBorders>
              <w:top w:val="single" w:color="000000" w:sz="4" w:space="0"/>
              <w:left w:val="single" w:color="000000" w:sz="4" w:space="0"/>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384" w:type="pct"/>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74" w:type="pc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70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50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7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注：本表反映部门（单位）本年度财政拨款“三公”经费支出预决算情况。其中，预算数为“三公”经费全年预算数，反映按规定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bookmarkEnd w:id="31"/>
    <w:bookmarkEnd w:id="32"/>
    <w:bookmarkEnd w:id="33"/>
    <w:bookmarkEnd w:id="34"/>
    <w:bookmarkEnd w:id="35"/>
    <w:bookmarkEnd w:id="36"/>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37" w:name="_Toc29683_WPSOffice_Level1"/>
      <w:bookmarkStart w:id="38" w:name="_Toc16686_WPSOffice_Level1"/>
      <w:bookmarkStart w:id="39" w:name="_Toc27590_WPSOffice_Level1"/>
      <w:bookmarkStart w:id="40" w:name="_Toc4402_WPSOffice_Level1"/>
      <w:bookmarkStart w:id="41" w:name="_Toc28629_WPSOffice_Level1"/>
      <w:bookmarkStart w:id="42" w:name="_Toc31264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37"/>
      <w:bookmarkEnd w:id="38"/>
      <w:bookmarkEnd w:id="39"/>
      <w:bookmarkEnd w:id="40"/>
      <w:bookmarkEnd w:id="41"/>
      <w:bookmarkEnd w:id="42"/>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2303.01</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2303.01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w:t>
      </w:r>
      <w:r>
        <w:rPr>
          <w:rFonts w:hint="eastAsia" w:ascii="仿宋_GB2312" w:hAnsi="ˎ̥" w:eastAsia="仿宋_GB2312"/>
          <w:color w:val="auto"/>
          <w:sz w:val="32"/>
          <w:szCs w:val="32"/>
          <w:lang w:val="en-US" w:eastAsia="zh-CN"/>
        </w:rPr>
        <w:t>减少320.3</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减少12.21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项目支出减少。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2256.85</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万元，年初结转结余</w:t>
      </w:r>
      <w:r>
        <w:rPr>
          <w:rFonts w:hint="eastAsia" w:ascii="仿宋_GB2312" w:hAnsi="ˎ̥" w:eastAsia="仿宋_GB2312"/>
          <w:color w:val="auto"/>
          <w:sz w:val="32"/>
          <w:szCs w:val="32"/>
          <w:lang w:val="en-US" w:eastAsia="zh-CN"/>
        </w:rPr>
        <w:t>46.16</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2303.01</w:t>
      </w:r>
      <w:r>
        <w:rPr>
          <w:rFonts w:hint="eastAsia" w:ascii="仿宋_GB2312" w:hAnsi="ˎ̥" w:eastAsia="仿宋_GB2312"/>
          <w:color w:val="auto"/>
          <w:sz w:val="32"/>
          <w:szCs w:val="32"/>
        </w:rPr>
        <w:t>万元。</w:t>
      </w:r>
      <w:r>
        <w:rPr>
          <w:rFonts w:hint="eastAsia" w:ascii="仿宋" w:hAnsi="仿宋" w:eastAsia="仿宋"/>
          <w:color w:val="auto"/>
          <w:sz w:val="32"/>
          <w:szCs w:val="32"/>
        </w:rPr>
        <w:t>其中：基本支出</w:t>
      </w:r>
      <w:r>
        <w:rPr>
          <w:rFonts w:hint="eastAsia" w:ascii="仿宋" w:hAnsi="仿宋" w:eastAsia="仿宋"/>
          <w:color w:val="auto"/>
          <w:sz w:val="32"/>
          <w:szCs w:val="32"/>
          <w:lang w:val="en-US" w:eastAsia="zh-CN"/>
        </w:rPr>
        <w:t>1922.9</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83.5</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380.11</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占16.5</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2256.85</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全部为</w:t>
      </w:r>
      <w:r>
        <w:rPr>
          <w:rFonts w:hint="eastAsia" w:ascii="仿宋_GB2312" w:hAnsi="ˎ̥" w:eastAsia="仿宋_GB2312"/>
          <w:color w:val="auto"/>
          <w:sz w:val="32"/>
          <w:szCs w:val="32"/>
        </w:rPr>
        <w:t>财政拨款收入</w:t>
      </w:r>
      <w:r>
        <w:rPr>
          <w:rFonts w:hint="eastAsia" w:ascii="仿宋_GB2312" w:hAnsi="ˎ̥" w:eastAsia="仿宋_GB2312"/>
          <w:color w:val="auto"/>
          <w:sz w:val="32"/>
          <w:szCs w:val="32"/>
          <w:lang w:val="en-US" w:eastAsia="zh-CN"/>
        </w:rPr>
        <w:t>2256.85</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2303.01</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1922.9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83.5</w:t>
      </w:r>
      <w:r>
        <w:rPr>
          <w:rFonts w:hint="eastAsia" w:ascii="仿宋_GB2312" w:hAnsi="ˎ̥" w:eastAsia="仿宋_GB2312"/>
          <w:color w:val="auto"/>
          <w:sz w:val="32"/>
          <w:szCs w:val="32"/>
        </w:rPr>
        <w:t>%；项目支出</w:t>
      </w:r>
      <w:r>
        <w:rPr>
          <w:rFonts w:hint="eastAsia" w:ascii="仿宋_GB2312" w:hAnsi="ˎ̥" w:eastAsia="仿宋_GB2312"/>
          <w:color w:val="auto"/>
          <w:sz w:val="32"/>
          <w:szCs w:val="32"/>
          <w:lang w:val="en-US" w:eastAsia="zh-CN"/>
        </w:rPr>
        <w:t>380.11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16.5</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2303.01</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2303.01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w:t>
      </w:r>
      <w:r>
        <w:rPr>
          <w:rFonts w:hint="eastAsia" w:ascii="仿宋_GB2312" w:hAnsi="ˎ̥" w:eastAsia="仿宋_GB2312"/>
          <w:color w:val="auto"/>
          <w:sz w:val="32"/>
          <w:szCs w:val="32"/>
          <w:lang w:val="en-US" w:eastAsia="zh-CN"/>
        </w:rPr>
        <w:t>减少320.3</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减少12.21%</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减少320.3</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减少12.21</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eastAsia" w:ascii="仿宋_GB2312" w:hAnsi="ˎ̥" w:eastAsia="仿宋_GB2312"/>
          <w:color w:val="auto"/>
          <w:sz w:val="32"/>
          <w:szCs w:val="32"/>
          <w:lang w:val="en-US" w:eastAsia="zh-CN"/>
        </w:rPr>
        <w:t>46.16</w:t>
      </w:r>
      <w:r>
        <w:rPr>
          <w:rFonts w:hint="eastAsia" w:ascii="仿宋_GB2312" w:hAnsi="ˎ̥" w:eastAsia="仿宋_GB2312"/>
          <w:color w:val="auto"/>
          <w:sz w:val="32"/>
          <w:szCs w:val="32"/>
        </w:rPr>
        <w:t>万元，财政拨款年末结转结余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3" w:name="_Toc17398_WPSOffice_Level2"/>
      <w:bookmarkStart w:id="44" w:name="_Toc19665_WPSOffice_Level2"/>
      <w:bookmarkStart w:id="45" w:name="_Toc23005_WPSOffice_Level2"/>
      <w:bookmarkStart w:id="46" w:name="_Toc9989_WPSOffice_Level2"/>
      <w:bookmarkStart w:id="47" w:name="_Toc13694_WPSOffice_Level2"/>
      <w:bookmarkStart w:id="48" w:name="_Toc21737_WPSOffice_Level2"/>
      <w:r>
        <w:rPr>
          <w:rFonts w:hint="eastAsia" w:ascii="楷体" w:hAnsi="楷体" w:eastAsia="楷体" w:cs="楷体"/>
          <w:color w:val="auto"/>
          <w:sz w:val="32"/>
          <w:szCs w:val="32"/>
        </w:rPr>
        <w:t>（一）一般公共预算财政拨款支出决算总体情况</w:t>
      </w:r>
      <w:bookmarkEnd w:id="43"/>
      <w:bookmarkEnd w:id="44"/>
      <w:bookmarkEnd w:id="45"/>
      <w:bookmarkEnd w:id="46"/>
      <w:bookmarkEnd w:id="47"/>
      <w:bookmarkEnd w:id="48"/>
    </w:p>
    <w:p>
      <w:pPr>
        <w:spacing w:line="578" w:lineRule="exact"/>
        <w:ind w:firstLine="640" w:firstLineChars="200"/>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2303.01</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w:t>
      </w:r>
      <w:r>
        <w:rPr>
          <w:rFonts w:hint="eastAsia" w:ascii="仿宋_GB2312" w:hAnsi="ˎ̥" w:eastAsia="仿宋_GB2312"/>
          <w:color w:val="auto"/>
          <w:sz w:val="32"/>
          <w:szCs w:val="32"/>
          <w:lang w:val="en-US" w:eastAsia="zh-CN"/>
        </w:rPr>
        <w:t>减少320.3</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减少12.21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项目支出</w:t>
      </w:r>
      <w:r>
        <w:rPr>
          <w:rFonts w:hint="eastAsia" w:ascii="仿宋_GB2312" w:hAnsi="ˎ̥" w:eastAsia="仿宋_GB2312"/>
          <w:color w:val="auto"/>
          <w:sz w:val="32"/>
          <w:szCs w:val="32"/>
          <w:lang w:val="en-US" w:eastAsia="zh-CN"/>
        </w:rPr>
        <w:t>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9" w:name="_Toc2711_WPSOffice_Level2"/>
      <w:bookmarkStart w:id="50" w:name="_Toc27767_WPSOffice_Level2"/>
      <w:bookmarkStart w:id="51" w:name="_Toc19535_WPSOffice_Level2"/>
      <w:bookmarkStart w:id="52" w:name="_Toc19075_WPSOffice_Level2"/>
      <w:bookmarkStart w:id="53" w:name="_Toc23864_WPSOffice_Level2"/>
      <w:bookmarkStart w:id="54" w:name="_Toc18793_WPSOffice_Level2"/>
      <w:r>
        <w:rPr>
          <w:rFonts w:hint="eastAsia" w:ascii="楷体" w:hAnsi="楷体" w:eastAsia="楷体" w:cs="楷体"/>
          <w:color w:val="auto"/>
          <w:sz w:val="32"/>
          <w:szCs w:val="32"/>
        </w:rPr>
        <w:t>（二）一般公共预算财政拨款支出决算结构情况</w:t>
      </w:r>
      <w:bookmarkEnd w:id="49"/>
      <w:bookmarkEnd w:id="50"/>
      <w:bookmarkEnd w:id="51"/>
      <w:bookmarkEnd w:id="52"/>
      <w:bookmarkEnd w:id="53"/>
      <w:bookmarkEnd w:id="54"/>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2303.01</w:t>
      </w:r>
      <w:r>
        <w:rPr>
          <w:rFonts w:hint="eastAsia" w:ascii="仿宋_GB2312" w:hAnsi="ˎ̥" w:eastAsia="仿宋_GB2312"/>
          <w:color w:val="auto"/>
          <w:sz w:val="32"/>
          <w:szCs w:val="32"/>
        </w:rPr>
        <w:t>万元，主要用于以下方面：</w:t>
      </w:r>
      <w:r>
        <w:rPr>
          <w:rFonts w:hint="eastAsia" w:ascii="仿宋_GB2312" w:hAnsi="仿宋_GB2312" w:eastAsia="仿宋_GB2312" w:cs="仿宋_GB2312"/>
          <w:b/>
          <w:sz w:val="32"/>
          <w:szCs w:val="32"/>
        </w:rPr>
        <w:t>教育（类）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1799.83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78.15</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190.12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8.26</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93.49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4.06</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219.56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9.53</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55" w:name="_Toc29364_WPSOffice_Level2"/>
      <w:bookmarkStart w:id="56" w:name="_Toc22318_WPSOffice_Level2"/>
      <w:bookmarkStart w:id="57" w:name="_Toc15415_WPSOffice_Level2"/>
      <w:bookmarkStart w:id="58" w:name="_Toc21701_WPSOffice_Level2"/>
      <w:bookmarkStart w:id="59" w:name="_Toc9502_WPSOffice_Level2"/>
      <w:bookmarkStart w:id="60" w:name="_Toc25136_WPSOffice_Level2"/>
      <w:r>
        <w:rPr>
          <w:rFonts w:hint="eastAsia" w:ascii="楷体" w:hAnsi="楷体" w:eastAsia="楷体" w:cs="楷体"/>
          <w:color w:val="auto"/>
          <w:sz w:val="32"/>
          <w:szCs w:val="32"/>
        </w:rPr>
        <w:t>（三）一般公共预算财政拨款支出决算具体情况</w:t>
      </w:r>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2081.05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2303.01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110.67</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主要是项目支出增加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spacing w:line="578" w:lineRule="exact"/>
        <w:ind w:firstLine="640" w:firstLineChars="200"/>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eastAsia="zh-CN"/>
        </w:rPr>
        <w:t>2024</w:t>
      </w:r>
      <w:r>
        <w:rPr>
          <w:rFonts w:hint="eastAsia" w:ascii="仿宋_GB2312" w:hAnsi="ˎ̥" w:eastAsia="仿宋_GB2312"/>
          <w:color w:val="auto"/>
          <w:sz w:val="32"/>
          <w:szCs w:val="32"/>
          <w:lang w:val="en-US" w:eastAsia="zh-CN"/>
        </w:rPr>
        <w:t>年度财政拨款基本支出1922.9万元，其中：人员经费</w:t>
      </w:r>
      <w:r>
        <w:rPr>
          <w:rFonts w:hint="eastAsia" w:ascii="仿宋_GB2312" w:hAnsi="ˎ̥" w:eastAsia="仿宋_GB2312"/>
          <w:color w:val="auto"/>
          <w:sz w:val="32"/>
          <w:szCs w:val="32"/>
          <w:lang w:val="en-US" w:eastAsia="zh-CN"/>
        </w:rPr>
        <w:t>1840.76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82.14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我单位无政府性基金预算。</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仿宋_GB2312" w:hAnsi="ˎ̥" w:eastAsia="仿宋_GB2312"/>
          <w:color w:val="auto"/>
          <w:sz w:val="32"/>
          <w:szCs w:val="32"/>
          <w:lang w:val="en-US" w:eastAsia="zh-CN"/>
        </w:rPr>
        <w:t>我单位无国有资本经营预算。</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我单位无财政拨款“三公”经费支出。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根据预算管理要求，我部门（单位）组织对</w:t>
      </w: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度一般公共预算项目支出全面开展绩效自评。项目</w:t>
      </w:r>
      <w:r>
        <w:rPr>
          <w:rFonts w:hint="eastAsia" w:ascii="仿宋_GB2312" w:hAnsi="ˎ̥" w:eastAsia="仿宋_GB2312"/>
          <w:color w:val="auto"/>
          <w:sz w:val="32"/>
          <w:szCs w:val="32"/>
          <w:lang w:val="en-US" w:eastAsia="zh-CN"/>
        </w:rPr>
        <w:t>16</w:t>
      </w:r>
      <w:r>
        <w:rPr>
          <w:rFonts w:hint="eastAsia" w:ascii="仿宋_GB2312" w:hAnsi="ˎ̥" w:eastAsia="仿宋_GB2312"/>
          <w:color w:val="auto"/>
          <w:sz w:val="32"/>
          <w:szCs w:val="32"/>
        </w:rPr>
        <w:t>个，共涉及资金</w:t>
      </w:r>
      <w:r>
        <w:rPr>
          <w:rFonts w:hint="eastAsia" w:ascii="仿宋_GB2312" w:hAnsi="ˎ̥" w:eastAsia="仿宋_GB2312"/>
          <w:color w:val="auto"/>
          <w:sz w:val="32"/>
          <w:szCs w:val="32"/>
          <w:lang w:val="en-US" w:eastAsia="zh-CN"/>
        </w:rPr>
        <w:t>380.11</w:t>
      </w:r>
      <w:r>
        <w:rPr>
          <w:rFonts w:hint="eastAsia" w:ascii="仿宋_GB2312" w:hAnsi="ˎ̥" w:eastAsia="仿宋_GB2312"/>
          <w:color w:val="auto"/>
          <w:sz w:val="32"/>
          <w:szCs w:val="32"/>
        </w:rPr>
        <w:t>万元，占一般公共预算项目支出总额的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从评价情况来看，项目立项程序规范完整，绩效目标设置合理，与实际需求相符，项目业务管理制度健全，质量管控措施有效，各项业务工作有效开展，项目财务管理制度完善，资金使用规范有效，项目预期的绩效目标完成率高，均达到了预期效果，完成质量达到标准要求，时效性强，效益显著。</w:t>
      </w: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sectPr>
          <w:pgSz w:w="11906" w:h="16838"/>
          <w:pgMar w:top="2098" w:right="1474" w:bottom="1984" w:left="1587" w:header="851" w:footer="992" w:gutter="0"/>
          <w:cols w:space="720" w:num="1"/>
          <w:docGrid w:type="lines" w:linePitch="312" w:charSpace="0"/>
        </w:sectPr>
      </w:pPr>
    </w:p>
    <w:p>
      <w:pPr>
        <w:spacing w:line="578" w:lineRule="exact"/>
        <w:rPr>
          <w:rFonts w:hint="eastAsia" w:ascii="仿宋_GB2312" w:hAnsi="ˎ̥" w:eastAsia="仿宋_GB2312"/>
          <w:color w:val="auto"/>
          <w:sz w:val="32"/>
          <w:szCs w:val="32"/>
          <w:lang w:val="en-US" w:eastAsia="zh-CN"/>
        </w:rPr>
      </w:pPr>
    </w:p>
    <w:tbl>
      <w:tblPr>
        <w:tblStyle w:val="9"/>
        <w:tblW w:w="140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12"/>
        <w:gridCol w:w="1119"/>
        <w:gridCol w:w="1703"/>
        <w:gridCol w:w="634"/>
        <w:gridCol w:w="1185"/>
        <w:gridCol w:w="1282"/>
        <w:gridCol w:w="1051"/>
        <w:gridCol w:w="1312"/>
        <w:gridCol w:w="975"/>
        <w:gridCol w:w="915"/>
        <w:gridCol w:w="885"/>
        <w:gridCol w:w="1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010" w:type="dxa"/>
            <w:gridSpan w:val="1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b/>
                <w:i w:val="0"/>
                <w:color w:val="000000"/>
                <w:sz w:val="40"/>
                <w:szCs w:val="40"/>
                <w:u w:val="none"/>
              </w:rPr>
            </w:pPr>
            <w:r>
              <w:rPr>
                <w:rFonts w:hint="eastAsia" w:ascii="等线" w:hAnsi="等线" w:eastAsia="等线" w:cs="等线"/>
                <w:b/>
                <w:i w:val="0"/>
                <w:color w:val="000000"/>
                <w:kern w:val="0"/>
                <w:sz w:val="40"/>
                <w:szCs w:val="40"/>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项目名称:</w:t>
            </w:r>
          </w:p>
        </w:tc>
        <w:tc>
          <w:tcPr>
            <w:tcW w:w="34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54042324T000001863885-墨脱县完全小学食堂清洗场地硬化</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填报人:</w:t>
            </w:r>
          </w:p>
        </w:tc>
        <w:tc>
          <w:tcPr>
            <w:tcW w:w="36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次仁尼玛</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联系方式:</w:t>
            </w:r>
          </w:p>
        </w:tc>
        <w:tc>
          <w:tcPr>
            <w:tcW w:w="36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主管部门:</w:t>
            </w:r>
          </w:p>
        </w:tc>
        <w:tc>
          <w:tcPr>
            <w:tcW w:w="34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105-墨脱县教育局</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实施单位:</w:t>
            </w:r>
          </w:p>
        </w:tc>
        <w:tc>
          <w:tcPr>
            <w:tcW w:w="825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105009-墨脱县完全小学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资金构成(元)</w:t>
            </w:r>
          </w:p>
        </w:tc>
        <w:tc>
          <w:tcPr>
            <w:tcW w:w="1703"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年初预算数</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全年预算数</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执行数</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分值</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执行率（%）</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资金总额：</w:t>
            </w:r>
          </w:p>
        </w:tc>
        <w:tc>
          <w:tcPr>
            <w:tcW w:w="1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464,794.10</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461,567.17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10.00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99.31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其中：财政资金：</w:t>
            </w:r>
          </w:p>
        </w:tc>
        <w:tc>
          <w:tcPr>
            <w:tcW w:w="1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464,794.10</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461,567.17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99.31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单位资金：</w:t>
            </w:r>
          </w:p>
        </w:tc>
        <w:tc>
          <w:tcPr>
            <w:tcW w:w="1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4620"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财政专户管理资金：</w:t>
            </w:r>
          </w:p>
        </w:tc>
        <w:tc>
          <w:tcPr>
            <w:tcW w:w="1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575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年度目标</w:t>
            </w:r>
          </w:p>
        </w:tc>
        <w:tc>
          <w:tcPr>
            <w:tcW w:w="825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8" w:hRule="atLeast"/>
        </w:trPr>
        <w:tc>
          <w:tcPr>
            <w:tcW w:w="575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教育基础设施建设意义重大，它可以提供更好的学习环境、提高教育质量、提供更安全的学习环境，是学校和学生的重要保障。在进行教育基础设施建设时，要注重规划设计、施工质量和管理维护，确保基础设施建设的可持续发展，为我县优质教育均衡发展奠定基础。</w:t>
            </w:r>
          </w:p>
        </w:tc>
        <w:tc>
          <w:tcPr>
            <w:tcW w:w="825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已完成食堂清洗场地硬化工作，为学生提供了更好的学习环境，有效提升学生的学习质量，校园环境更加美好。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一级指标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二级指标</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三级指标</w:t>
            </w:r>
          </w:p>
        </w:tc>
        <w:tc>
          <w:tcPr>
            <w:tcW w:w="11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指标性质</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年度指标值</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度量单位</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实际完成值</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完成率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分值</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得分</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数量指标</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安装污水管De300长度</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25</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米</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数量指标</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项目开工及时性</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数量指标</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新建室内硬化面积</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347</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平方米</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347</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数量指标</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新刷教学楼内墙面乳胶漆面积</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3200</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平方米</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数量指标</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验收合格率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效益指标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社会效益指标</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不断提升我县体育基础设施建设达标率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98</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效益指标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可持续影响指标</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项目设计使用年限</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年</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满意度指标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服务对象满意度指标</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师生满意度</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成本指标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经济成本指标</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项目工程费用</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464794.1</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元</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461567.17</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成本指标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社会成本指标</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受益学生人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558</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人</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558</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037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99.93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bl>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bookmarkStart w:id="88" w:name="_GoBack"/>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sectPr>
          <w:pgSz w:w="16838" w:h="11906" w:orient="landscape"/>
          <w:pgMar w:top="1587" w:right="2098" w:bottom="1474" w:left="198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spacing w:line="578" w:lineRule="exact"/>
        <w:ind w:firstLine="640" w:firstLineChars="200"/>
        <w:outlineLvl w:val="1"/>
        <w:rPr>
          <w:rFonts w:hint="eastAsia" w:ascii="楷体" w:hAnsi="楷体" w:eastAsia="楷体" w:cs="楷体"/>
          <w:bCs/>
          <w:color w:val="auto"/>
          <w:sz w:val="32"/>
          <w:szCs w:val="32"/>
        </w:rPr>
      </w:pPr>
      <w:bookmarkStart w:id="61" w:name="_Toc23598_WPSOffice_Level2"/>
      <w:bookmarkStart w:id="62" w:name="_Toc18325_WPSOffice_Level2"/>
      <w:bookmarkStart w:id="63" w:name="_Toc32639_WPSOffice_Level2"/>
      <w:bookmarkStart w:id="64" w:name="_Toc5978_WPSOffice_Level2"/>
      <w:bookmarkStart w:id="65" w:name="_Toc15565_WPSOffice_Level2"/>
      <w:bookmarkStart w:id="66" w:name="_Toc15262_WPSOffice_Level2"/>
      <w:bookmarkStart w:id="67" w:name="_Toc27924"/>
      <w:bookmarkStart w:id="68" w:name="_Toc8808_WPSOffice_Level1"/>
      <w:bookmarkStart w:id="69" w:name="_Toc15425_WPSOffice_Level1"/>
      <w:bookmarkStart w:id="70" w:name="_Toc4398_WPSOffice_Level1"/>
      <w:bookmarkStart w:id="71" w:name="_Toc17580_WPSOffice_Level1"/>
      <w:bookmarkStart w:id="72" w:name="_Toc8874_WPSOffice_Level1"/>
      <w:bookmarkStart w:id="73" w:name="_Toc11039_WPSOffice_Level1"/>
      <w:r>
        <w:rPr>
          <w:rFonts w:hint="eastAsia" w:ascii="楷体" w:hAnsi="楷体" w:eastAsia="楷体" w:cs="楷体"/>
          <w:bCs/>
          <w:color w:val="auto"/>
          <w:sz w:val="32"/>
          <w:szCs w:val="32"/>
        </w:rPr>
        <w:t>（一）机关运行经费支出情况。</w:t>
      </w:r>
      <w:bookmarkEnd w:id="61"/>
      <w:bookmarkEnd w:id="62"/>
      <w:bookmarkEnd w:id="63"/>
      <w:bookmarkEnd w:id="64"/>
      <w:bookmarkEnd w:id="65"/>
      <w:bookmarkEnd w:id="66"/>
      <w:bookmarkEnd w:id="67"/>
    </w:p>
    <w:p>
      <w:pPr>
        <w:spacing w:line="578" w:lineRule="exact"/>
        <w:ind w:firstLine="960" w:firstLineChars="300"/>
        <w:rPr>
          <w:rFonts w:hint="default" w:ascii="仿宋_GB2312" w:hAnsi="ˎ̥" w:eastAsia="仿宋_GB2312"/>
          <w:color w:val="auto"/>
          <w:sz w:val="32"/>
          <w:szCs w:val="32"/>
          <w:lang w:val="en-US" w:eastAsia="zh-CN"/>
        </w:rPr>
      </w:pPr>
      <w:bookmarkStart w:id="74" w:name="_Toc23966_WPSOffice_Level2"/>
      <w:bookmarkStart w:id="75" w:name="_Toc32689_WPSOffice_Level2"/>
      <w:bookmarkStart w:id="76" w:name="_Toc25333_WPSOffice_Level2"/>
      <w:bookmarkStart w:id="77" w:name="_Toc26632"/>
      <w:bookmarkStart w:id="78" w:name="_Toc13084_WPSOffice_Level2"/>
      <w:bookmarkStart w:id="79" w:name="_Toc3131_WPSOffice_Level2"/>
      <w:bookmarkStart w:id="80" w:name="_Toc30383_WPSOffice_Level2"/>
      <w:r>
        <w:rPr>
          <w:rFonts w:hint="eastAsia" w:ascii="仿宋_GB2312" w:hAnsi="ˎ̥" w:eastAsia="仿宋_GB2312"/>
          <w:color w:val="auto"/>
          <w:sz w:val="32"/>
          <w:szCs w:val="32"/>
          <w:lang w:val="en-US" w:eastAsia="zh-CN"/>
        </w:rPr>
        <w:t>2024年度我部门无</w:t>
      </w:r>
      <w:r>
        <w:rPr>
          <w:rFonts w:hint="eastAsia" w:ascii="仿宋_GB2312" w:hAnsi="ˎ̥" w:eastAsia="仿宋_GB2312"/>
          <w:color w:val="auto"/>
          <w:sz w:val="32"/>
          <w:szCs w:val="32"/>
          <w:lang w:eastAsia="zh-CN"/>
        </w:rPr>
        <w:t>机关运行经费支出。</w:t>
      </w:r>
    </w:p>
    <w:p>
      <w:pPr>
        <w:spacing w:line="578" w:lineRule="exact"/>
        <w:ind w:firstLine="640" w:firstLineChars="200"/>
        <w:outlineLvl w:val="1"/>
        <w:rPr>
          <w:rFonts w:hint="eastAsia" w:ascii="楷体" w:hAnsi="楷体" w:eastAsia="楷体" w:cs="楷体"/>
          <w:bCs/>
          <w:color w:val="auto"/>
          <w:sz w:val="32"/>
          <w:szCs w:val="32"/>
        </w:rPr>
      </w:pPr>
      <w:r>
        <w:rPr>
          <w:rFonts w:hint="eastAsia" w:ascii="楷体" w:hAnsi="楷体" w:eastAsia="楷体" w:cs="楷体"/>
          <w:bCs/>
          <w:color w:val="auto"/>
          <w:sz w:val="32"/>
          <w:szCs w:val="32"/>
        </w:rPr>
        <w:t>（二）政府采购支出情况。</w:t>
      </w:r>
      <w:bookmarkEnd w:id="74"/>
      <w:bookmarkEnd w:id="75"/>
      <w:bookmarkEnd w:id="76"/>
      <w:bookmarkEnd w:id="77"/>
      <w:bookmarkEnd w:id="78"/>
      <w:bookmarkEnd w:id="79"/>
      <w:bookmarkEnd w:id="80"/>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我部门无</w:t>
      </w:r>
      <w:r>
        <w:rPr>
          <w:rFonts w:hint="eastAsia" w:ascii="仿宋_GB2312" w:hAnsi="ˎ̥" w:eastAsia="仿宋_GB2312"/>
          <w:color w:val="auto"/>
          <w:sz w:val="32"/>
          <w:szCs w:val="32"/>
        </w:rPr>
        <w:t>政府采购支出。</w:t>
      </w:r>
    </w:p>
    <w:p>
      <w:pPr>
        <w:spacing w:line="578" w:lineRule="exact"/>
        <w:ind w:firstLine="640" w:firstLineChars="200"/>
        <w:outlineLvl w:val="1"/>
        <w:rPr>
          <w:rFonts w:hint="eastAsia" w:ascii="楷体" w:hAnsi="楷体" w:eastAsia="楷体" w:cs="楷体"/>
          <w:bCs/>
          <w:color w:val="auto"/>
          <w:sz w:val="32"/>
          <w:szCs w:val="32"/>
        </w:rPr>
      </w:pPr>
      <w:bookmarkStart w:id="81" w:name="_Toc6016_WPSOffice_Level2"/>
      <w:bookmarkStart w:id="82" w:name="_Toc527_WPSOffice_Level2"/>
      <w:bookmarkStart w:id="83" w:name="_Toc23489"/>
      <w:bookmarkStart w:id="84" w:name="_Toc10902_WPSOffice_Level2"/>
      <w:bookmarkStart w:id="85" w:name="_Toc19989_WPSOffice_Level2"/>
      <w:bookmarkStart w:id="86" w:name="_Toc29584_WPSOffice_Level2"/>
      <w:bookmarkStart w:id="87" w:name="_Toc15129_WPSOffice_Level2"/>
      <w:r>
        <w:rPr>
          <w:rFonts w:hint="eastAsia" w:ascii="楷体" w:hAnsi="楷体" w:eastAsia="楷体" w:cs="楷体"/>
          <w:bCs/>
          <w:color w:val="auto"/>
          <w:sz w:val="32"/>
          <w:szCs w:val="32"/>
        </w:rPr>
        <w:t>（三）国有资产占用情况。</w:t>
      </w:r>
      <w:bookmarkEnd w:id="81"/>
      <w:bookmarkEnd w:id="82"/>
      <w:bookmarkEnd w:id="83"/>
      <w:bookmarkEnd w:id="84"/>
      <w:bookmarkEnd w:id="85"/>
      <w:bookmarkEnd w:id="86"/>
      <w:bookmarkEnd w:id="87"/>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w:t>
      </w:r>
      <w:r>
        <w:rPr>
          <w:rFonts w:hint="eastAsia" w:ascii="仿宋_GB2312" w:hAnsi="ˎ̥" w:eastAsia="仿宋_GB2312"/>
          <w:color w:val="auto"/>
          <w:sz w:val="32"/>
          <w:szCs w:val="32"/>
          <w:lang w:eastAsia="zh-CN"/>
        </w:rPr>
        <w:t>国有资产占用情况。</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D188"/>
    <w:multiLevelType w:val="singleLevel"/>
    <w:tmpl w:val="99C7D188"/>
    <w:lvl w:ilvl="0" w:tentative="0">
      <w:start w:val="2"/>
      <w:numFmt w:val="chineseCounting"/>
      <w:suff w:val="space"/>
      <w:lvlText w:val="第%1部分"/>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00172A27"/>
    <w:rsid w:val="00064A91"/>
    <w:rsid w:val="000718C4"/>
    <w:rsid w:val="000779B0"/>
    <w:rsid w:val="000C11D5"/>
    <w:rsid w:val="0012534A"/>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40CE3"/>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1922A7"/>
    <w:rsid w:val="014C50ED"/>
    <w:rsid w:val="01BD0674"/>
    <w:rsid w:val="01E44B90"/>
    <w:rsid w:val="01FC2149"/>
    <w:rsid w:val="02487F4D"/>
    <w:rsid w:val="029324ED"/>
    <w:rsid w:val="03144883"/>
    <w:rsid w:val="03671B82"/>
    <w:rsid w:val="03CA5715"/>
    <w:rsid w:val="05C80BB0"/>
    <w:rsid w:val="062214F8"/>
    <w:rsid w:val="06800A63"/>
    <w:rsid w:val="07A6222D"/>
    <w:rsid w:val="08CE3A2F"/>
    <w:rsid w:val="09201287"/>
    <w:rsid w:val="0AAE4D33"/>
    <w:rsid w:val="0AE05360"/>
    <w:rsid w:val="0B054D9F"/>
    <w:rsid w:val="0B2E6267"/>
    <w:rsid w:val="0B8A576B"/>
    <w:rsid w:val="0BEB1F5D"/>
    <w:rsid w:val="0C7B2006"/>
    <w:rsid w:val="0D065DF0"/>
    <w:rsid w:val="0D882197"/>
    <w:rsid w:val="0DB667E1"/>
    <w:rsid w:val="0E184DC9"/>
    <w:rsid w:val="0E851594"/>
    <w:rsid w:val="0F49256B"/>
    <w:rsid w:val="0FC80124"/>
    <w:rsid w:val="0FD151F6"/>
    <w:rsid w:val="107104E5"/>
    <w:rsid w:val="10AA7EE9"/>
    <w:rsid w:val="10B469FA"/>
    <w:rsid w:val="10CA3F8E"/>
    <w:rsid w:val="11AB626C"/>
    <w:rsid w:val="121C49D6"/>
    <w:rsid w:val="12A81505"/>
    <w:rsid w:val="13071936"/>
    <w:rsid w:val="131503EF"/>
    <w:rsid w:val="132B690D"/>
    <w:rsid w:val="134336CC"/>
    <w:rsid w:val="136F98C7"/>
    <w:rsid w:val="14A709DB"/>
    <w:rsid w:val="14C23C26"/>
    <w:rsid w:val="14DD2775"/>
    <w:rsid w:val="14F17710"/>
    <w:rsid w:val="14FD7C13"/>
    <w:rsid w:val="15CE3F87"/>
    <w:rsid w:val="163A3ADA"/>
    <w:rsid w:val="1659747D"/>
    <w:rsid w:val="16946D1A"/>
    <w:rsid w:val="16BE7989"/>
    <w:rsid w:val="17427E68"/>
    <w:rsid w:val="1755065F"/>
    <w:rsid w:val="1832346D"/>
    <w:rsid w:val="1928565A"/>
    <w:rsid w:val="194C38F4"/>
    <w:rsid w:val="19E00108"/>
    <w:rsid w:val="1A2266E4"/>
    <w:rsid w:val="1AFC29C9"/>
    <w:rsid w:val="1B251E30"/>
    <w:rsid w:val="1C3A3D5E"/>
    <w:rsid w:val="1CA52F2E"/>
    <w:rsid w:val="1CF20597"/>
    <w:rsid w:val="1D434B02"/>
    <w:rsid w:val="1DE96D51"/>
    <w:rsid w:val="1DFE370B"/>
    <w:rsid w:val="1E3630B9"/>
    <w:rsid w:val="1E872024"/>
    <w:rsid w:val="1F0D4AC3"/>
    <w:rsid w:val="1F9B5B51"/>
    <w:rsid w:val="1FFF6B02"/>
    <w:rsid w:val="20D504E9"/>
    <w:rsid w:val="215D32E6"/>
    <w:rsid w:val="21850FDE"/>
    <w:rsid w:val="22A55F7B"/>
    <w:rsid w:val="23A14BBA"/>
    <w:rsid w:val="23F93F53"/>
    <w:rsid w:val="240C319D"/>
    <w:rsid w:val="24D6412C"/>
    <w:rsid w:val="2541423A"/>
    <w:rsid w:val="26E60DB1"/>
    <w:rsid w:val="26EEC2B5"/>
    <w:rsid w:val="26FC5B1D"/>
    <w:rsid w:val="29472309"/>
    <w:rsid w:val="29BB47EF"/>
    <w:rsid w:val="2A2B000D"/>
    <w:rsid w:val="2A916356"/>
    <w:rsid w:val="2AC16E4B"/>
    <w:rsid w:val="2B406E77"/>
    <w:rsid w:val="2B5A335B"/>
    <w:rsid w:val="2BA84A35"/>
    <w:rsid w:val="2BE96243"/>
    <w:rsid w:val="2C170512"/>
    <w:rsid w:val="2C1E3812"/>
    <w:rsid w:val="2C2A0C43"/>
    <w:rsid w:val="2C76651F"/>
    <w:rsid w:val="2CA8737F"/>
    <w:rsid w:val="2CDC69CA"/>
    <w:rsid w:val="2D1621AB"/>
    <w:rsid w:val="2D1E73A5"/>
    <w:rsid w:val="2E6565C2"/>
    <w:rsid w:val="2ED135A7"/>
    <w:rsid w:val="2EDF0F08"/>
    <w:rsid w:val="2EEC389E"/>
    <w:rsid w:val="2F5C08E5"/>
    <w:rsid w:val="30807CA4"/>
    <w:rsid w:val="310419E1"/>
    <w:rsid w:val="317D7C5F"/>
    <w:rsid w:val="31D92244"/>
    <w:rsid w:val="3234519E"/>
    <w:rsid w:val="32390A7C"/>
    <w:rsid w:val="32717154"/>
    <w:rsid w:val="332351BA"/>
    <w:rsid w:val="332E4AAE"/>
    <w:rsid w:val="33D26081"/>
    <w:rsid w:val="3427797A"/>
    <w:rsid w:val="34B63260"/>
    <w:rsid w:val="3573699D"/>
    <w:rsid w:val="36B36EF9"/>
    <w:rsid w:val="36C362B5"/>
    <w:rsid w:val="374C6F4C"/>
    <w:rsid w:val="377D73BE"/>
    <w:rsid w:val="37FDA7E2"/>
    <w:rsid w:val="38192195"/>
    <w:rsid w:val="384B2632"/>
    <w:rsid w:val="385A1373"/>
    <w:rsid w:val="385D21A0"/>
    <w:rsid w:val="38B91761"/>
    <w:rsid w:val="39DD4518"/>
    <w:rsid w:val="39EE78A8"/>
    <w:rsid w:val="3A314D88"/>
    <w:rsid w:val="3A746883"/>
    <w:rsid w:val="3A770CB9"/>
    <w:rsid w:val="3B3070F6"/>
    <w:rsid w:val="3B7E6C33"/>
    <w:rsid w:val="3BA13919"/>
    <w:rsid w:val="3BB6462D"/>
    <w:rsid w:val="3BF04668"/>
    <w:rsid w:val="3BF36762"/>
    <w:rsid w:val="3CA15DE9"/>
    <w:rsid w:val="3D2F5C32"/>
    <w:rsid w:val="3D61147F"/>
    <w:rsid w:val="3ED616A5"/>
    <w:rsid w:val="3FAD196A"/>
    <w:rsid w:val="3FE61EE5"/>
    <w:rsid w:val="40010245"/>
    <w:rsid w:val="400A0257"/>
    <w:rsid w:val="406508EE"/>
    <w:rsid w:val="408D6263"/>
    <w:rsid w:val="412B0DA3"/>
    <w:rsid w:val="416627DB"/>
    <w:rsid w:val="41B40CEE"/>
    <w:rsid w:val="4299604D"/>
    <w:rsid w:val="42D16E96"/>
    <w:rsid w:val="43C663D5"/>
    <w:rsid w:val="43F22A80"/>
    <w:rsid w:val="446875D8"/>
    <w:rsid w:val="44864388"/>
    <w:rsid w:val="44E03403"/>
    <w:rsid w:val="45E9561A"/>
    <w:rsid w:val="45F52E3E"/>
    <w:rsid w:val="465D7AFE"/>
    <w:rsid w:val="467631A7"/>
    <w:rsid w:val="469E2CEC"/>
    <w:rsid w:val="46A1108D"/>
    <w:rsid w:val="46A447AE"/>
    <w:rsid w:val="46DA441E"/>
    <w:rsid w:val="46E53528"/>
    <w:rsid w:val="46E67E81"/>
    <w:rsid w:val="47691FCD"/>
    <w:rsid w:val="48317291"/>
    <w:rsid w:val="48460EA5"/>
    <w:rsid w:val="485F7024"/>
    <w:rsid w:val="487A687C"/>
    <w:rsid w:val="48D877F1"/>
    <w:rsid w:val="48E70666"/>
    <w:rsid w:val="499910A3"/>
    <w:rsid w:val="49C173DC"/>
    <w:rsid w:val="49E25274"/>
    <w:rsid w:val="4A1C039D"/>
    <w:rsid w:val="4B2125F4"/>
    <w:rsid w:val="4BEE4564"/>
    <w:rsid w:val="4C215BBF"/>
    <w:rsid w:val="4C6877E5"/>
    <w:rsid w:val="4CEB717D"/>
    <w:rsid w:val="4CF70F62"/>
    <w:rsid w:val="4D5F4F21"/>
    <w:rsid w:val="4D6A468D"/>
    <w:rsid w:val="4E307D23"/>
    <w:rsid w:val="4E3410BF"/>
    <w:rsid w:val="4EA86137"/>
    <w:rsid w:val="4ED2574D"/>
    <w:rsid w:val="51016BC2"/>
    <w:rsid w:val="514315C5"/>
    <w:rsid w:val="514905BA"/>
    <w:rsid w:val="51DA6CD8"/>
    <w:rsid w:val="51E21B4F"/>
    <w:rsid w:val="521B504A"/>
    <w:rsid w:val="52301F99"/>
    <w:rsid w:val="531F2F47"/>
    <w:rsid w:val="534F05FD"/>
    <w:rsid w:val="53996C9C"/>
    <w:rsid w:val="53B65C90"/>
    <w:rsid w:val="541D020F"/>
    <w:rsid w:val="542F1F2F"/>
    <w:rsid w:val="55E552CD"/>
    <w:rsid w:val="56037112"/>
    <w:rsid w:val="56104BF2"/>
    <w:rsid w:val="56225A8C"/>
    <w:rsid w:val="564C5AEC"/>
    <w:rsid w:val="56CA7FD0"/>
    <w:rsid w:val="5745027B"/>
    <w:rsid w:val="57FA38D1"/>
    <w:rsid w:val="58471724"/>
    <w:rsid w:val="589622B8"/>
    <w:rsid w:val="59301824"/>
    <w:rsid w:val="59973FBC"/>
    <w:rsid w:val="5AF3495B"/>
    <w:rsid w:val="5AF90702"/>
    <w:rsid w:val="5BCD39CD"/>
    <w:rsid w:val="5BDF23FE"/>
    <w:rsid w:val="5C1F59AF"/>
    <w:rsid w:val="5D213B6E"/>
    <w:rsid w:val="5D760AF8"/>
    <w:rsid w:val="5DD8141A"/>
    <w:rsid w:val="5E041752"/>
    <w:rsid w:val="5E7068EA"/>
    <w:rsid w:val="5E7900F6"/>
    <w:rsid w:val="5EA875AD"/>
    <w:rsid w:val="5EFA3F2F"/>
    <w:rsid w:val="5F2B6DD2"/>
    <w:rsid w:val="5F7D3333"/>
    <w:rsid w:val="5FF501F7"/>
    <w:rsid w:val="609F7CCD"/>
    <w:rsid w:val="60C138E3"/>
    <w:rsid w:val="60F06516"/>
    <w:rsid w:val="611A363E"/>
    <w:rsid w:val="61385890"/>
    <w:rsid w:val="61E71BB1"/>
    <w:rsid w:val="62F1225B"/>
    <w:rsid w:val="631B255D"/>
    <w:rsid w:val="63A97597"/>
    <w:rsid w:val="63D82FED"/>
    <w:rsid w:val="64013CA9"/>
    <w:rsid w:val="6504510C"/>
    <w:rsid w:val="65314355"/>
    <w:rsid w:val="66AD3BD4"/>
    <w:rsid w:val="671F7586"/>
    <w:rsid w:val="677333FD"/>
    <w:rsid w:val="67C45707"/>
    <w:rsid w:val="67E15CB8"/>
    <w:rsid w:val="68362CE8"/>
    <w:rsid w:val="687436E1"/>
    <w:rsid w:val="696A5E49"/>
    <w:rsid w:val="69BF75B1"/>
    <w:rsid w:val="6A225AEB"/>
    <w:rsid w:val="6A521B7F"/>
    <w:rsid w:val="6B4C55F7"/>
    <w:rsid w:val="6B8020BC"/>
    <w:rsid w:val="6BB25D6B"/>
    <w:rsid w:val="6BEE02F1"/>
    <w:rsid w:val="6C703CE3"/>
    <w:rsid w:val="6CEB6FF1"/>
    <w:rsid w:val="6DA45C50"/>
    <w:rsid w:val="6E9A7825"/>
    <w:rsid w:val="6EB6550C"/>
    <w:rsid w:val="6EFF0CDC"/>
    <w:rsid w:val="6F670F9B"/>
    <w:rsid w:val="6FC65FE7"/>
    <w:rsid w:val="70043F21"/>
    <w:rsid w:val="71CA525E"/>
    <w:rsid w:val="71E11ACA"/>
    <w:rsid w:val="71FD1FBB"/>
    <w:rsid w:val="72055089"/>
    <w:rsid w:val="72937C49"/>
    <w:rsid w:val="729D4CD2"/>
    <w:rsid w:val="72A61621"/>
    <w:rsid w:val="732E067F"/>
    <w:rsid w:val="737450E0"/>
    <w:rsid w:val="73C56094"/>
    <w:rsid w:val="74054476"/>
    <w:rsid w:val="742F38C4"/>
    <w:rsid w:val="745C5B34"/>
    <w:rsid w:val="749D5963"/>
    <w:rsid w:val="74AB66DC"/>
    <w:rsid w:val="74C4154C"/>
    <w:rsid w:val="751A5F84"/>
    <w:rsid w:val="757F76BA"/>
    <w:rsid w:val="75847558"/>
    <w:rsid w:val="75937F0E"/>
    <w:rsid w:val="75956FFF"/>
    <w:rsid w:val="75A27CE1"/>
    <w:rsid w:val="75EC58E3"/>
    <w:rsid w:val="76DD52D3"/>
    <w:rsid w:val="76F42856"/>
    <w:rsid w:val="776F00F4"/>
    <w:rsid w:val="77AA2D01"/>
    <w:rsid w:val="77C440BD"/>
    <w:rsid w:val="781F4E85"/>
    <w:rsid w:val="78FE477C"/>
    <w:rsid w:val="79827885"/>
    <w:rsid w:val="7ACF2137"/>
    <w:rsid w:val="7B043560"/>
    <w:rsid w:val="7B947CF5"/>
    <w:rsid w:val="7BA57EF4"/>
    <w:rsid w:val="7BAE073C"/>
    <w:rsid w:val="7CDE1DBD"/>
    <w:rsid w:val="7CEF7BF1"/>
    <w:rsid w:val="7D943A85"/>
    <w:rsid w:val="7DB0448C"/>
    <w:rsid w:val="7DD20489"/>
    <w:rsid w:val="7E5F9AA4"/>
    <w:rsid w:val="7FAD1AF7"/>
    <w:rsid w:val="7FBE2FE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styleId="8">
    <w:name w:val="annotation subject"/>
    <w:basedOn w:val="2"/>
    <w:next w:val="2"/>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页眉 Char"/>
    <w:link w:val="6"/>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32</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2023-08-03T08:58:00Z</cp:lastPrinted>
  <dcterms:modified xsi:type="dcterms:W3CDTF">2025-11-06T10:30:06Z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