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帮辛乡小学</w:t>
      </w:r>
      <w:r>
        <w:rPr>
          <w:rFonts w:hint="eastAsia" w:asciiTheme="majorEastAsia" w:hAnsiTheme="majorEastAsia" w:eastAsiaTheme="majorEastAsia" w:cstheme="majorEastAsia"/>
          <w:b/>
          <w:bCs/>
          <w:color w:val="auto"/>
          <w:sz w:val="44"/>
          <w:szCs w:val="44"/>
        </w:rPr>
        <w:t>2024年度部门决算公开</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22941_WPSOffice_Level1"/>
      <w:bookmarkStart w:id="3" w:name="_Toc32433_WPSOffice_Level1"/>
      <w:bookmarkStart w:id="4" w:name="_Toc1704_WPSOffice_Level1"/>
      <w:bookmarkStart w:id="5" w:name="_Toc10049_WPSOffice_Level1"/>
      <w:bookmarkStart w:id="6" w:name="_Toc23465_WPSOffice_Level1"/>
      <w:bookmarkStart w:id="7" w:name="_Toc10720_WPSOffice_Level1"/>
      <w:bookmarkStart w:id="8" w:name="_Toc24238_WPSOffice_Level2"/>
      <w:bookmarkStart w:id="9" w:name="_Toc20274_WPSOffice_Level2"/>
      <w:bookmarkStart w:id="10" w:name="_Toc32622_WPSOffice_Level2"/>
      <w:bookmarkStart w:id="11" w:name="_Toc20205_WPSOffice_Level2"/>
      <w:bookmarkStart w:id="12" w:name="_Toc14159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6572_WPSOffice_Level2"/>
      <w:bookmarkStart w:id="15" w:name="_Toc24059_WPSOffice_Level2"/>
      <w:bookmarkStart w:id="16" w:name="_Toc17796_WPSOffice_Level2"/>
      <w:bookmarkStart w:id="17" w:name="_Toc24474_WPSOffice_Level2"/>
      <w:bookmarkStart w:id="18" w:name="_Toc4833_WPSOffice_Level2"/>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1.全面贯彻执行党和国家的教育方针、政策、法规，自觉抵制各种违反教育方针、政策、法规的倾向，实施素质教育。坚持社会主义办学方向，努力培养德、智、体全面发展的社会主义事业的建设者和接班人。按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"https://www.baidu.com/s?wd=%E6%95%99%E8%82%B2%E8%A7%84%E5%BE%8B&amp;tn=SE_PcZhidaonwhc_ngpagmjz&amp;rsv_dl=gh_pc_zhidao"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教育规律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办学，不断提高教育质量。</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2.做好基础教育，负责实施义务教育文化，素质教育。</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3.根据教育规律、组织制定学校发展的远景规划、近期目标、学年和学期各项工作计划以及工作指标并组织实施。</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4.制定和健全各项规章制度，规范办学行为，培养良好校风，逐步实现管理决策的科学化，管理方法的定量化和管理手段的现代化。</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5.负责教师队伍建设工作，决定校内教职工的工作安排，组织对教职工进行考核、实施奖惩。</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6.领导和组织学校的思想政治工作，把德育工作放在首位。</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7.研究思想政治工作的要求、内容、方法和规律，不断加强学生的思想政治、法律纪律和道德品质教育以及做好管理工作。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8.教育全体职工做到教书育人、管理育人、服务育人、搞好学校、社会、家庭三结合教育。</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9.加强对财务工作的领导，正确使用各项经费，不断改善办</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条件，强化安全工作管理，创造良好的育人环境。</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10.加强与党支部的合作，主动接受学校党组织的监督，搞好领导班子的团结和协作。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11.依靠群众办学，实行民主管理和民主监督，定期向家长报告工作，充分发挥家长参与学校民主管理和民主监督的作用。</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12.主持学校与学生家长及社会的联系工作和外来工作，搞好校际间的交往，做好与社会各界的联系工作，争取各方面力量对学校的支持。</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13.组织教师的业务学习，</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教师进修规划，定期检查执行情况，做好师资力量的安排和调整工作。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bookmarkStart w:id="19" w:name="_Toc30451_WPSOffice_Level1"/>
      <w:bookmarkStart w:id="20" w:name="_Toc28253_WPSOffice_Level1"/>
      <w:bookmarkStart w:id="21" w:name="_Toc8164_WPSOffice_Level1"/>
      <w:bookmarkStart w:id="22" w:name="_Toc6234_WPSOffice_Level1"/>
      <w:bookmarkStart w:id="23" w:name="_Toc15521_WPSOffice_Level1"/>
      <w:bookmarkStart w:id="24" w:name="_Toc30690_WPSOffice_Level1"/>
      <w:bookmarkStart w:id="25" w:name="_Toc6211_WPSOffice_Level2"/>
      <w:bookmarkStart w:id="26" w:name="_Toc11518_WPSOffice_Level2"/>
      <w:bookmarkStart w:id="27" w:name="_Toc32472_WPSOffice_Level2"/>
      <w:bookmarkStart w:id="28" w:name="_Toc8867_WPSOffice_Level2"/>
      <w:bookmarkStart w:id="29" w:name="_Toc4029_WPSOffice_Level2"/>
      <w:bookmarkStart w:id="30" w:name="_Toc32695_WPSOffice_Level2"/>
      <w:r>
        <w:rPr>
          <w:rFonts w:hint="eastAsia" w:ascii="仿宋_GB2312" w:hAnsi="仿宋_GB2312" w:eastAsia="仿宋_GB2312" w:cs="仿宋_GB2312"/>
          <w:sz w:val="32"/>
          <w:szCs w:val="32"/>
          <w:lang w:eastAsia="zh-CN"/>
        </w:rPr>
        <w:t>帮辛</w:t>
      </w:r>
      <w:r>
        <w:rPr>
          <w:rFonts w:hint="eastAsia" w:ascii="仿宋_GB2312" w:hAnsi="仿宋_GB2312" w:eastAsia="仿宋_GB2312" w:cs="仿宋_GB2312"/>
          <w:sz w:val="32"/>
          <w:szCs w:val="32"/>
        </w:rPr>
        <w:t>乡小学设有校长办、党支部、教务处、德育处、总务处、少队室、信教办、医务室</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4"/>
        <w:gridCol w:w="894"/>
        <w:gridCol w:w="894"/>
        <w:gridCol w:w="899"/>
        <w:gridCol w:w="894"/>
        <w:gridCol w:w="1449"/>
        <w:gridCol w:w="1446"/>
        <w:gridCol w:w="894"/>
        <w:gridCol w:w="894"/>
        <w:gridCol w:w="900"/>
        <w:gridCol w:w="895"/>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bookmarkStart w:id="31" w:name="_Toc14349_WPSOffice_Level2"/>
            <w:bookmarkStart w:id="32" w:name="_Toc28622_WPSOffice_Level2"/>
            <w:bookmarkStart w:id="33" w:name="_Toc23139_WPSOffice_Level2"/>
            <w:bookmarkStart w:id="34" w:name="_Toc26621_WPSOffice_Level2"/>
            <w:bookmarkStart w:id="35" w:name="_Toc25608_WPSOffice_Level2"/>
            <w:bookmarkStart w:id="36" w:name="_Toc30334_WPSOffice_Level2"/>
            <w:r>
              <w:rPr>
                <w:rFonts w:hint="eastAsia" w:ascii="宋体" w:hAnsi="宋体" w:eastAsia="宋体" w:cs="宋体"/>
                <w:b/>
                <w:i w:val="0"/>
                <w:color w:val="000000"/>
                <w:kern w:val="0"/>
                <w:sz w:val="20"/>
                <w:szCs w:val="20"/>
                <w:u w:val="none"/>
                <w:lang w:val="en-US" w:eastAsia="zh-CN" w:bidi="ar"/>
              </w:rPr>
              <w:t>附件1-1</w:t>
            </w: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19"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部门(单位)：墨脱县帮辛乡小学</w:t>
            </w:r>
          </w:p>
        </w:tc>
        <w:tc>
          <w:tcPr>
            <w:tcW w:w="56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50"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31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26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6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1618"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71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000" w:type="pct"/>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000" w:type="pct"/>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9"/>
        <w:gridCol w:w="297"/>
        <w:gridCol w:w="333"/>
        <w:gridCol w:w="3230"/>
        <w:gridCol w:w="1164"/>
        <w:gridCol w:w="1161"/>
        <w:gridCol w:w="1120"/>
        <w:gridCol w:w="1136"/>
        <w:gridCol w:w="1179"/>
        <w:gridCol w:w="1412"/>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18"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10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95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部门(单位)：墨脱县帮辛乡小学</w:t>
            </w:r>
          </w:p>
        </w:tc>
        <w:tc>
          <w:tcPr>
            <w:tcW w:w="93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65"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82"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73"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9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0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3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2,808.51</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2,808.51</w:t>
            </w: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133.15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2,462.55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2,462.55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2"/>
        <w:gridCol w:w="361"/>
        <w:gridCol w:w="39"/>
        <w:gridCol w:w="346"/>
        <w:gridCol w:w="338"/>
        <w:gridCol w:w="682"/>
        <w:gridCol w:w="688"/>
        <w:gridCol w:w="446"/>
        <w:gridCol w:w="1103"/>
        <w:gridCol w:w="18"/>
        <w:gridCol w:w="665"/>
        <w:gridCol w:w="685"/>
        <w:gridCol w:w="682"/>
        <w:gridCol w:w="663"/>
        <w:gridCol w:w="21"/>
        <w:gridCol w:w="545"/>
        <w:gridCol w:w="779"/>
        <w:gridCol w:w="339"/>
        <w:gridCol w:w="998"/>
        <w:gridCol w:w="319"/>
        <w:gridCol w:w="983"/>
        <w:gridCol w:w="379"/>
        <w:gridCol w:w="1379"/>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60" w:hRule="atLeast"/>
        </w:trPr>
        <w:tc>
          <w:tcPr>
            <w:tcW w:w="415"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279" w:type="pct"/>
            <w:gridSpan w:val="6"/>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488" w:hRule="atLeast"/>
        </w:trPr>
        <w:tc>
          <w:tcPr>
            <w:tcW w:w="4998" w:type="pct"/>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88" w:hRule="atLeast"/>
        </w:trPr>
        <w:tc>
          <w:tcPr>
            <w:tcW w:w="1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9" w:type="pct"/>
            <w:gridSpan w:val="6"/>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7"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88" w:hRule="atLeast"/>
        </w:trPr>
        <w:tc>
          <w:tcPr>
            <w:tcW w:w="2223" w:type="pct"/>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部门(单位)：墨脱县帮辛乡小学</w:t>
            </w:r>
          </w:p>
        </w:tc>
        <w:tc>
          <w:tcPr>
            <w:tcW w:w="526"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26" w:type="pct"/>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24"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10"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87"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41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79" w:type="pct"/>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2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52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5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5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4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1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8"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1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2,808.51</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874.52</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661.71</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661.71</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133.15</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126.15</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2,462.55</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654.71</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1,807.84</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52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79" w:type="pct"/>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28"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526"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526"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12" w:hRule="atLeast"/>
        </w:trPr>
        <w:tc>
          <w:tcPr>
            <w:tcW w:w="4998" w:type="pct"/>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28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26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0"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24" w:type="pct"/>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部门(单位)：墨脱县帮辛乡小学</w:t>
            </w:r>
          </w:p>
        </w:tc>
        <w:tc>
          <w:tcPr>
            <w:tcW w:w="534"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13"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38"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16"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33"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38"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689"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310" w:type="pct"/>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7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3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2,595.70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2,595.70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89.15</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89.15</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106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2,808.51</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6"/>
        <w:gridCol w:w="231"/>
        <w:gridCol w:w="298"/>
        <w:gridCol w:w="1407"/>
        <w:gridCol w:w="755"/>
        <w:gridCol w:w="701"/>
        <w:gridCol w:w="678"/>
        <w:gridCol w:w="737"/>
        <w:gridCol w:w="729"/>
        <w:gridCol w:w="737"/>
        <w:gridCol w:w="737"/>
        <w:gridCol w:w="794"/>
        <w:gridCol w:w="796"/>
        <w:gridCol w:w="924"/>
        <w:gridCol w:w="793"/>
        <w:gridCol w:w="859"/>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6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5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06"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部门(单位)：墨脱县帮辛乡小学</w:t>
            </w:r>
          </w:p>
        </w:tc>
        <w:tc>
          <w:tcPr>
            <w:tcW w:w="60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88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2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2,808.51</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874.52</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2,808.51</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874.52</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661.71</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661.71</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661.71</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2,595.70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661.71</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1,933.99</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133.15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126.15</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133.15</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126.15</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2,462.55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654.71</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1,807.84</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2,462.55</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654.71</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1,807.84</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83.93</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39.73</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89.15</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3"/>
        <w:gridCol w:w="2040"/>
        <w:gridCol w:w="585"/>
        <w:gridCol w:w="800"/>
        <w:gridCol w:w="1000"/>
        <w:gridCol w:w="1520"/>
        <w:gridCol w:w="385"/>
        <w:gridCol w:w="931"/>
        <w:gridCol w:w="945"/>
        <w:gridCol w:w="1956"/>
        <w:gridCol w:w="264"/>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3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7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37"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797"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228"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391"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94"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364"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764"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85"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2067"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部门(单位)：墨脱县帮辛乡小学</w:t>
            </w:r>
          </w:p>
        </w:tc>
        <w:tc>
          <w:tcPr>
            <w:tcW w:w="59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7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8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6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0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8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6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0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845.04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449.01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73.57</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0.28</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其他交通费用</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1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845.39</w:t>
            </w:r>
          </w:p>
        </w:tc>
        <w:tc>
          <w:tcPr>
            <w:tcW w:w="2634"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bidi w:val="0"/>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2"/>
        <w:gridCol w:w="264"/>
        <w:gridCol w:w="281"/>
        <w:gridCol w:w="225"/>
        <w:gridCol w:w="422"/>
        <w:gridCol w:w="1205"/>
        <w:gridCol w:w="1798"/>
        <w:gridCol w:w="422"/>
        <w:gridCol w:w="816"/>
        <w:gridCol w:w="813"/>
        <w:gridCol w:w="422"/>
        <w:gridCol w:w="813"/>
        <w:gridCol w:w="816"/>
        <w:gridCol w:w="422"/>
        <w:gridCol w:w="1215"/>
        <w:gridCol w:w="1014"/>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99"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3970"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3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8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70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726"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部门(单位)：墨脱县帮辛乡小学</w:t>
            </w:r>
          </w:p>
        </w:tc>
        <w:tc>
          <w:tcPr>
            <w:tcW w:w="484"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3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338"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02"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802"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669"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6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1029"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02"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09"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65"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475"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96"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632"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6"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2"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9"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5"/>
        <w:gridCol w:w="302"/>
        <w:gridCol w:w="258"/>
        <w:gridCol w:w="2464"/>
        <w:gridCol w:w="1102"/>
        <w:gridCol w:w="1168"/>
        <w:gridCol w:w="1217"/>
        <w:gridCol w:w="1166"/>
        <w:gridCol w:w="1232"/>
        <w:gridCol w:w="1140"/>
        <w:gridCol w:w="1102"/>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9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83"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部门(单位)：墨脱县帮辛乡小学</w:t>
            </w:r>
          </w:p>
        </w:tc>
        <w:tc>
          <w:tcPr>
            <w:tcW w:w="93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1"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96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363"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02"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1"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6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47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00"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0"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1"/>
        <w:gridCol w:w="1527"/>
        <w:gridCol w:w="708"/>
        <w:gridCol w:w="1340"/>
        <w:gridCol w:w="859"/>
        <w:gridCol w:w="974"/>
        <w:gridCol w:w="403"/>
        <w:gridCol w:w="1529"/>
        <w:gridCol w:w="403"/>
        <w:gridCol w:w="1340"/>
        <w:gridCol w:w="1441"/>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5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8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00"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部门(单位)：墨脱县帮辛乡小学 </w:t>
            </w:r>
          </w:p>
        </w:tc>
        <w:tc>
          <w:tcPr>
            <w:tcW w:w="756"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1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00"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599"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97"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137"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378"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245"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7"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33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378"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2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6"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97"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24"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58"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56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p>
      <w:pPr>
        <w:spacing w:line="578" w:lineRule="exact"/>
        <w:jc w:val="center"/>
        <w:rPr>
          <w:rFonts w:hint="eastAsia" w:ascii="黑体" w:hAnsi="ˎ̥" w:eastAsia="黑体"/>
          <w:color w:val="auto"/>
          <w:sz w:val="32"/>
          <w:szCs w:val="32"/>
        </w:rPr>
      </w:pPr>
      <w:bookmarkStart w:id="37" w:name="_Toc16686_WPSOffice_Level1"/>
      <w:bookmarkStart w:id="38" w:name="_Toc4402_WPSOffice_Level1"/>
      <w:bookmarkStart w:id="39" w:name="_Toc31264_WPSOffice_Level1"/>
      <w:bookmarkStart w:id="40" w:name="_Toc28629_WPSOffice_Level1"/>
      <w:bookmarkStart w:id="41" w:name="_Toc27590_WPSOffice_Level1"/>
      <w:bookmarkStart w:id="42" w:name="_Toc29683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减少458.57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减少14.04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874.52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31.14</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1933.99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占68.86</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874.52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31.14</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1933.99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占68.86</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减少458.57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减少14.04</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减少458.57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减少14.04</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13694_WPSOffice_Level2"/>
      <w:bookmarkStart w:id="44" w:name="_Toc21737_WPSOffice_Level2"/>
      <w:bookmarkStart w:id="45" w:name="_Toc9989_WPSOffice_Level2"/>
      <w:bookmarkStart w:id="46" w:name="_Toc17398_WPSOffice_Level2"/>
      <w:bookmarkStart w:id="47" w:name="_Toc23005_WPSOffice_Level2"/>
      <w:bookmarkStart w:id="48" w:name="_Toc19665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w:t>
      </w:r>
      <w:r>
        <w:rPr>
          <w:rFonts w:hint="eastAsia" w:ascii="仿宋_GB2312" w:hAnsi="ˎ̥" w:eastAsia="仿宋_GB2312"/>
          <w:color w:val="auto"/>
          <w:sz w:val="32"/>
          <w:szCs w:val="32"/>
          <w:lang w:val="en-US" w:eastAsia="zh-CN"/>
        </w:rPr>
        <w:t>出减少457.07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减少14.00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2711_WPSOffice_Level2"/>
      <w:bookmarkStart w:id="50" w:name="_Toc19075_WPSOffice_Level2"/>
      <w:bookmarkStart w:id="51" w:name="_Toc18793_WPSOffice_Level2"/>
      <w:bookmarkStart w:id="52" w:name="_Toc19535_WPSOffice_Level2"/>
      <w:bookmarkStart w:id="53" w:name="_Toc23864_WPSOffice_Level2"/>
      <w:bookmarkStart w:id="54" w:name="_Toc27767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2595.7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92.42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83.93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2.99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39.73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89.15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9502_WPSOffice_Level2"/>
      <w:bookmarkStart w:id="56" w:name="_Toc25136_WPSOffice_Level2"/>
      <w:bookmarkStart w:id="57" w:name="_Toc29364_WPSOffice_Level2"/>
      <w:bookmarkStart w:id="58" w:name="_Toc15415_WPSOffice_Level2"/>
      <w:bookmarkStart w:id="59" w:name="_Toc22318_WPSOffice_Level2"/>
      <w:bookmarkStart w:id="60" w:name="_Toc21701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3021.69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2808.51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92.95</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874.52</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845.39</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29.13</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w:t>
      </w:r>
      <w:r>
        <w:rPr>
          <w:rFonts w:hint="eastAsia" w:ascii="仿宋_GB2312" w:hAnsi="ˎ̥" w:eastAsia="仿宋_GB2312"/>
          <w:sz w:val="32"/>
          <w:szCs w:val="32"/>
        </w:rPr>
        <w:t>政府性基金预算</w:t>
      </w:r>
      <w:r>
        <w:rPr>
          <w:rFonts w:hint="eastAsia" w:ascii="仿宋_GB2312" w:hAnsi="ˎ̥" w:eastAsia="仿宋_GB2312"/>
          <w:color w:val="auto"/>
          <w:sz w:val="32"/>
          <w:szCs w:val="32"/>
          <w:lang w:val="en-US"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26</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1933.99</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tbl>
      <w:tblPr>
        <w:tblStyle w:val="9"/>
        <w:tblW w:w="13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
        <w:gridCol w:w="1125"/>
        <w:gridCol w:w="1710"/>
        <w:gridCol w:w="1035"/>
        <w:gridCol w:w="1125"/>
        <w:gridCol w:w="960"/>
        <w:gridCol w:w="765"/>
        <w:gridCol w:w="1020"/>
        <w:gridCol w:w="1155"/>
        <w:gridCol w:w="870"/>
        <w:gridCol w:w="87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3065"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项目名称:</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54042324T000001428936-帮辛乡附设幼儿园（迁建）项目资金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填报人:</w:t>
            </w:r>
          </w:p>
        </w:tc>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次仁尼玛</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联系方式:</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主管部门:</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105-墨脱县教育局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实施单位:</w:t>
            </w:r>
          </w:p>
        </w:tc>
        <w:tc>
          <w:tcPr>
            <w:tcW w:w="69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105040-墨脱县帮辛乡小学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资金构成(元)</w:t>
            </w:r>
          </w:p>
        </w:tc>
        <w:tc>
          <w:tcPr>
            <w:tcW w:w="17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全年预算数</w:t>
            </w:r>
          </w:p>
        </w:tc>
        <w:tc>
          <w:tcPr>
            <w:tcW w:w="39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执行数</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8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资金总额：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948,105.00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948,105.00</w:t>
            </w:r>
          </w:p>
        </w:tc>
        <w:tc>
          <w:tcPr>
            <w:tcW w:w="39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883,488.50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 xml:space="preserve">10.00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其中：财政资金：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948,105.00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948,105.00</w:t>
            </w:r>
          </w:p>
        </w:tc>
        <w:tc>
          <w:tcPr>
            <w:tcW w:w="39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883,488.50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93.18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90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财政专户管理资金：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9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w:t>
            </w:r>
          </w:p>
        </w:tc>
        <w:tc>
          <w:tcPr>
            <w:tcW w:w="69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8" w:hRule="atLeast"/>
        </w:trPr>
        <w:tc>
          <w:tcPr>
            <w:tcW w:w="6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为加快推进墨脱县教育事业发展，我局实施了墨脱县帮辛乡（新址）附设幼儿园建设项目。</w:t>
            </w:r>
          </w:p>
        </w:tc>
        <w:tc>
          <w:tcPr>
            <w:tcW w:w="69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顺利完成墨脱县帮辛乡（新址）附设幼儿园建设项目，给学生提供良好的学习和生活环境。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二级指标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三级指标</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完成率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新建幼儿园</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804.96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804.96</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项目质量保障率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项目开工及时性</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效果指标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项目完成及进度达标率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经济效益指标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学生及时能够入院就学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社会效益指标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受益学生人数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项目使用年限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服务对象满意度指标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师生满意度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经济成本指标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项目总投资</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88.35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002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bl>
    <w:p>
      <w:pPr>
        <w:spacing w:line="578" w:lineRule="exact"/>
        <w:rPr>
          <w:rFonts w:hint="eastAsia" w:ascii="仿宋_GB2312" w:hAnsi="ˎ̥" w:eastAsia="仿宋_GB2312"/>
          <w:color w:val="auto"/>
          <w:sz w:val="32"/>
          <w:szCs w:val="32"/>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27924"/>
      <w:bookmarkStart w:id="62" w:name="_Toc15565_WPSOffice_Level2"/>
      <w:bookmarkStart w:id="63" w:name="_Toc18325_WPSOffice_Level2"/>
      <w:bookmarkStart w:id="64" w:name="_Toc5978_WPSOffice_Level2"/>
      <w:bookmarkStart w:id="65" w:name="_Toc15262_WPSOffice_Level2"/>
      <w:bookmarkStart w:id="66" w:name="_Toc23598_WPSOffice_Level2"/>
      <w:bookmarkStart w:id="67" w:name="_Toc32639_WPSOffice_Level2"/>
      <w:bookmarkStart w:id="68" w:name="_Toc11039_WPSOffice_Level1"/>
      <w:bookmarkStart w:id="69" w:name="_Toc17580_WPSOffice_Level1"/>
      <w:bookmarkStart w:id="70" w:name="_Toc15425_WPSOffice_Level1"/>
      <w:bookmarkStart w:id="71" w:name="_Toc8808_WPSOffice_Level1"/>
      <w:bookmarkStart w:id="72" w:name="_Toc8874_WPSOffice_Level1"/>
      <w:bookmarkStart w:id="73" w:name="_Toc4398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bookmarkStart w:id="74" w:name="_Toc26632"/>
      <w:bookmarkStart w:id="75" w:name="_Toc30383_WPSOffice_Level2"/>
      <w:bookmarkStart w:id="76" w:name="_Toc32689_WPSOffice_Level2"/>
      <w:bookmarkStart w:id="77" w:name="_Toc3131_WPSOffice_Level2"/>
      <w:bookmarkStart w:id="78" w:name="_Toc23966_WPSOffice_Level2"/>
      <w:bookmarkStart w:id="79" w:name="_Toc13084_WPSOffice_Level2"/>
      <w:bookmarkStart w:id="80" w:name="_Toc25333_WPSOffice_Level2"/>
    </w:p>
    <w:p>
      <w:pPr>
        <w:spacing w:line="578" w:lineRule="exact"/>
        <w:ind w:firstLine="640" w:firstLineChars="200"/>
        <w:outlineLvl w:val="1"/>
        <w:rPr>
          <w:rFonts w:hint="default" w:ascii="仿宋_GB2312" w:hAnsi="ˎ̥" w:eastAsia="仿宋_GB2312"/>
          <w:color w:val="auto"/>
          <w:sz w:val="32"/>
          <w:szCs w:val="32"/>
          <w:lang w:val="en-US" w:eastAsia="zh-CN"/>
        </w:rPr>
      </w:pPr>
      <w:bookmarkStart w:id="88" w:name="_GoBack"/>
      <w:bookmarkEnd w:id="88"/>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19989_WPSOffice_Level2"/>
      <w:bookmarkStart w:id="82" w:name="_Toc10902_WPSOffice_Level2"/>
      <w:bookmarkStart w:id="83" w:name="_Toc29584_WPSOffice_Level2"/>
      <w:bookmarkStart w:id="84" w:name="_Toc23489"/>
      <w:bookmarkStart w:id="85" w:name="_Toc527_WPSOffice_Level2"/>
      <w:bookmarkStart w:id="86" w:name="_Toc15129_WPSOffice_Level2"/>
      <w:bookmarkStart w:id="87" w:name="_Toc6016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bookmarkEnd w:id="31"/>
    <w:bookmarkEnd w:id="32"/>
    <w:bookmarkEnd w:id="33"/>
    <w:bookmarkEnd w:id="34"/>
    <w:bookmarkEnd w:id="35"/>
    <w:bookmarkEnd w:id="36"/>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C6369"/>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741A3C"/>
    <w:rsid w:val="01924D7B"/>
    <w:rsid w:val="01BD0674"/>
    <w:rsid w:val="01E44B90"/>
    <w:rsid w:val="01F826AF"/>
    <w:rsid w:val="01FC2149"/>
    <w:rsid w:val="024179AB"/>
    <w:rsid w:val="02487F4D"/>
    <w:rsid w:val="029324ED"/>
    <w:rsid w:val="02BD31A7"/>
    <w:rsid w:val="03144883"/>
    <w:rsid w:val="032A1949"/>
    <w:rsid w:val="03353CA7"/>
    <w:rsid w:val="03671B82"/>
    <w:rsid w:val="03CA5715"/>
    <w:rsid w:val="047749EB"/>
    <w:rsid w:val="04B23A48"/>
    <w:rsid w:val="05041340"/>
    <w:rsid w:val="051C3BBF"/>
    <w:rsid w:val="05752CAA"/>
    <w:rsid w:val="05C80BB0"/>
    <w:rsid w:val="05E529DF"/>
    <w:rsid w:val="062214F8"/>
    <w:rsid w:val="065A192F"/>
    <w:rsid w:val="065C2CF3"/>
    <w:rsid w:val="06800A63"/>
    <w:rsid w:val="068A3043"/>
    <w:rsid w:val="07A6222D"/>
    <w:rsid w:val="07C86BA7"/>
    <w:rsid w:val="07CD4557"/>
    <w:rsid w:val="08792B5F"/>
    <w:rsid w:val="08CE3A2F"/>
    <w:rsid w:val="09087051"/>
    <w:rsid w:val="09160752"/>
    <w:rsid w:val="09201287"/>
    <w:rsid w:val="0AAD72F9"/>
    <w:rsid w:val="0AAE4D33"/>
    <w:rsid w:val="0AE05360"/>
    <w:rsid w:val="0AE35A88"/>
    <w:rsid w:val="0B054D9F"/>
    <w:rsid w:val="0B2E6267"/>
    <w:rsid w:val="0B471084"/>
    <w:rsid w:val="0B5A02ED"/>
    <w:rsid w:val="0B8A576B"/>
    <w:rsid w:val="0BAA1C30"/>
    <w:rsid w:val="0BEB1F5D"/>
    <w:rsid w:val="0C034C8F"/>
    <w:rsid w:val="0C126CD9"/>
    <w:rsid w:val="0C2E41D9"/>
    <w:rsid w:val="0C7B2006"/>
    <w:rsid w:val="0C864CFC"/>
    <w:rsid w:val="0CA35E42"/>
    <w:rsid w:val="0CE204EF"/>
    <w:rsid w:val="0D065DF0"/>
    <w:rsid w:val="0D882197"/>
    <w:rsid w:val="0DB667E1"/>
    <w:rsid w:val="0DE85904"/>
    <w:rsid w:val="0E184DC9"/>
    <w:rsid w:val="0E4B2FA6"/>
    <w:rsid w:val="0E851594"/>
    <w:rsid w:val="0E946EB4"/>
    <w:rsid w:val="0F065F2F"/>
    <w:rsid w:val="0F49256B"/>
    <w:rsid w:val="0FC80124"/>
    <w:rsid w:val="0FD151F6"/>
    <w:rsid w:val="0FD31911"/>
    <w:rsid w:val="0FF06EB0"/>
    <w:rsid w:val="101D286A"/>
    <w:rsid w:val="104C416C"/>
    <w:rsid w:val="107104E5"/>
    <w:rsid w:val="10AA7EE9"/>
    <w:rsid w:val="10B469FA"/>
    <w:rsid w:val="10CA3F8E"/>
    <w:rsid w:val="11132000"/>
    <w:rsid w:val="11693817"/>
    <w:rsid w:val="11945B15"/>
    <w:rsid w:val="11945D9A"/>
    <w:rsid w:val="11AB626C"/>
    <w:rsid w:val="11B13D2E"/>
    <w:rsid w:val="11B72B43"/>
    <w:rsid w:val="121C3A7E"/>
    <w:rsid w:val="121C49D6"/>
    <w:rsid w:val="12613FB1"/>
    <w:rsid w:val="129D740C"/>
    <w:rsid w:val="12A81505"/>
    <w:rsid w:val="12CB0405"/>
    <w:rsid w:val="13071936"/>
    <w:rsid w:val="131331C1"/>
    <w:rsid w:val="131503EF"/>
    <w:rsid w:val="132B690D"/>
    <w:rsid w:val="133C481F"/>
    <w:rsid w:val="134336CC"/>
    <w:rsid w:val="134E2F1F"/>
    <w:rsid w:val="136F98C7"/>
    <w:rsid w:val="13D62796"/>
    <w:rsid w:val="13DB5B34"/>
    <w:rsid w:val="13E6681A"/>
    <w:rsid w:val="140218C6"/>
    <w:rsid w:val="142156A4"/>
    <w:rsid w:val="1494185A"/>
    <w:rsid w:val="14A709DB"/>
    <w:rsid w:val="14C23C26"/>
    <w:rsid w:val="14DD2775"/>
    <w:rsid w:val="14DF1420"/>
    <w:rsid w:val="14F17710"/>
    <w:rsid w:val="14FD7C13"/>
    <w:rsid w:val="154C47EC"/>
    <w:rsid w:val="15582F56"/>
    <w:rsid w:val="15CE3F87"/>
    <w:rsid w:val="15DA139F"/>
    <w:rsid w:val="15FC4608"/>
    <w:rsid w:val="16137016"/>
    <w:rsid w:val="162E0890"/>
    <w:rsid w:val="163A3ADA"/>
    <w:rsid w:val="1659747D"/>
    <w:rsid w:val="16742122"/>
    <w:rsid w:val="16946D1A"/>
    <w:rsid w:val="16AA6BDE"/>
    <w:rsid w:val="16BE7989"/>
    <w:rsid w:val="16FC1069"/>
    <w:rsid w:val="17427E68"/>
    <w:rsid w:val="1755065F"/>
    <w:rsid w:val="17560A1D"/>
    <w:rsid w:val="17967775"/>
    <w:rsid w:val="1832346D"/>
    <w:rsid w:val="186A722D"/>
    <w:rsid w:val="191C1625"/>
    <w:rsid w:val="191F2D37"/>
    <w:rsid w:val="194C38F4"/>
    <w:rsid w:val="199514FC"/>
    <w:rsid w:val="19DD4C94"/>
    <w:rsid w:val="19E00108"/>
    <w:rsid w:val="19F76D88"/>
    <w:rsid w:val="1A2266E4"/>
    <w:rsid w:val="1A2649D5"/>
    <w:rsid w:val="1AFC29C9"/>
    <w:rsid w:val="1B205B5E"/>
    <w:rsid w:val="1B251E30"/>
    <w:rsid w:val="1B2F6F9F"/>
    <w:rsid w:val="1B650AE6"/>
    <w:rsid w:val="1BA3633D"/>
    <w:rsid w:val="1BBD6311"/>
    <w:rsid w:val="1C323ABD"/>
    <w:rsid w:val="1C3A3D5E"/>
    <w:rsid w:val="1CA52F2E"/>
    <w:rsid w:val="1CEA2513"/>
    <w:rsid w:val="1CF20597"/>
    <w:rsid w:val="1D253502"/>
    <w:rsid w:val="1D434B02"/>
    <w:rsid w:val="1D856681"/>
    <w:rsid w:val="1DC15CE9"/>
    <w:rsid w:val="1DE96D51"/>
    <w:rsid w:val="1DFE370B"/>
    <w:rsid w:val="1E2A15AE"/>
    <w:rsid w:val="1E3630B9"/>
    <w:rsid w:val="1E872024"/>
    <w:rsid w:val="1F0D4AC3"/>
    <w:rsid w:val="1F5758A1"/>
    <w:rsid w:val="1F852988"/>
    <w:rsid w:val="1F9B5B51"/>
    <w:rsid w:val="1FD008F3"/>
    <w:rsid w:val="1FDA334C"/>
    <w:rsid w:val="1FFF6B02"/>
    <w:rsid w:val="204769DE"/>
    <w:rsid w:val="20584B21"/>
    <w:rsid w:val="20D504E9"/>
    <w:rsid w:val="20E30473"/>
    <w:rsid w:val="215A3256"/>
    <w:rsid w:val="21850FDE"/>
    <w:rsid w:val="222B254E"/>
    <w:rsid w:val="228918E2"/>
    <w:rsid w:val="22A55F7B"/>
    <w:rsid w:val="22E5204E"/>
    <w:rsid w:val="22FE77F1"/>
    <w:rsid w:val="231C74CE"/>
    <w:rsid w:val="239C5E39"/>
    <w:rsid w:val="23A14BBA"/>
    <w:rsid w:val="23F93F53"/>
    <w:rsid w:val="240C319D"/>
    <w:rsid w:val="24530192"/>
    <w:rsid w:val="24752B52"/>
    <w:rsid w:val="247C6843"/>
    <w:rsid w:val="24BE1914"/>
    <w:rsid w:val="24CE1297"/>
    <w:rsid w:val="24D6412C"/>
    <w:rsid w:val="24DF6036"/>
    <w:rsid w:val="25083F98"/>
    <w:rsid w:val="2541423A"/>
    <w:rsid w:val="25530AA8"/>
    <w:rsid w:val="261C6066"/>
    <w:rsid w:val="265F26D7"/>
    <w:rsid w:val="26E60DB1"/>
    <w:rsid w:val="26EEC2B5"/>
    <w:rsid w:val="26FC44EE"/>
    <w:rsid w:val="26FC5B1D"/>
    <w:rsid w:val="278A38F5"/>
    <w:rsid w:val="27F759AC"/>
    <w:rsid w:val="2818523C"/>
    <w:rsid w:val="283A5ABB"/>
    <w:rsid w:val="285E1DC9"/>
    <w:rsid w:val="287A3D96"/>
    <w:rsid w:val="29033822"/>
    <w:rsid w:val="29472309"/>
    <w:rsid w:val="29BB47EF"/>
    <w:rsid w:val="29DF3E16"/>
    <w:rsid w:val="2A2B000D"/>
    <w:rsid w:val="2A353C72"/>
    <w:rsid w:val="2A587431"/>
    <w:rsid w:val="2A916356"/>
    <w:rsid w:val="2AC16E4B"/>
    <w:rsid w:val="2ACF5380"/>
    <w:rsid w:val="2AE22BBA"/>
    <w:rsid w:val="2AEB76F1"/>
    <w:rsid w:val="2B406E77"/>
    <w:rsid w:val="2B5A335B"/>
    <w:rsid w:val="2B8D1167"/>
    <w:rsid w:val="2B9E4D5E"/>
    <w:rsid w:val="2BA84A35"/>
    <w:rsid w:val="2BA95A66"/>
    <w:rsid w:val="2BBE1D43"/>
    <w:rsid w:val="2BDD10DC"/>
    <w:rsid w:val="2BE96243"/>
    <w:rsid w:val="2BF74B2A"/>
    <w:rsid w:val="2C170512"/>
    <w:rsid w:val="2C1E3812"/>
    <w:rsid w:val="2C2921BD"/>
    <w:rsid w:val="2C2A0C43"/>
    <w:rsid w:val="2C614540"/>
    <w:rsid w:val="2C641E89"/>
    <w:rsid w:val="2C76651F"/>
    <w:rsid w:val="2CA8737F"/>
    <w:rsid w:val="2CDC69CA"/>
    <w:rsid w:val="2D0375CF"/>
    <w:rsid w:val="2D1621AB"/>
    <w:rsid w:val="2D1E73A5"/>
    <w:rsid w:val="2D470B23"/>
    <w:rsid w:val="2D8F5340"/>
    <w:rsid w:val="2DEB3A28"/>
    <w:rsid w:val="2E31536C"/>
    <w:rsid w:val="2E6565C2"/>
    <w:rsid w:val="2E9A0B35"/>
    <w:rsid w:val="2EAB5181"/>
    <w:rsid w:val="2EC57107"/>
    <w:rsid w:val="2ED135A7"/>
    <w:rsid w:val="2EDF0F08"/>
    <w:rsid w:val="2EEC389E"/>
    <w:rsid w:val="2F4120D1"/>
    <w:rsid w:val="2F580B58"/>
    <w:rsid w:val="2F5C08E5"/>
    <w:rsid w:val="3044310A"/>
    <w:rsid w:val="30807CA4"/>
    <w:rsid w:val="30EC054A"/>
    <w:rsid w:val="30F641E8"/>
    <w:rsid w:val="310419E1"/>
    <w:rsid w:val="31586457"/>
    <w:rsid w:val="317130B9"/>
    <w:rsid w:val="317D7C5F"/>
    <w:rsid w:val="31D92244"/>
    <w:rsid w:val="3234519E"/>
    <w:rsid w:val="32390A7C"/>
    <w:rsid w:val="326C07E9"/>
    <w:rsid w:val="32717154"/>
    <w:rsid w:val="32CA1ADC"/>
    <w:rsid w:val="332351BA"/>
    <w:rsid w:val="332E4AAE"/>
    <w:rsid w:val="33D26081"/>
    <w:rsid w:val="3400743E"/>
    <w:rsid w:val="3427797A"/>
    <w:rsid w:val="34B63260"/>
    <w:rsid w:val="34CB047A"/>
    <w:rsid w:val="351D5933"/>
    <w:rsid w:val="35516992"/>
    <w:rsid w:val="35641FDA"/>
    <w:rsid w:val="3573699D"/>
    <w:rsid w:val="35F46956"/>
    <w:rsid w:val="36281514"/>
    <w:rsid w:val="36B36EF9"/>
    <w:rsid w:val="36BC5BAE"/>
    <w:rsid w:val="36C362B5"/>
    <w:rsid w:val="36F937B6"/>
    <w:rsid w:val="377D73BE"/>
    <w:rsid w:val="37FDA7E2"/>
    <w:rsid w:val="38192195"/>
    <w:rsid w:val="38394584"/>
    <w:rsid w:val="384B2632"/>
    <w:rsid w:val="385A1373"/>
    <w:rsid w:val="385D21A0"/>
    <w:rsid w:val="38697ACF"/>
    <w:rsid w:val="38863C5F"/>
    <w:rsid w:val="38B91761"/>
    <w:rsid w:val="39435BA9"/>
    <w:rsid w:val="39A1696F"/>
    <w:rsid w:val="39DB681B"/>
    <w:rsid w:val="39DD4518"/>
    <w:rsid w:val="39EE78A8"/>
    <w:rsid w:val="3A314D88"/>
    <w:rsid w:val="3A656D10"/>
    <w:rsid w:val="3A746883"/>
    <w:rsid w:val="3A770CB9"/>
    <w:rsid w:val="3AA36088"/>
    <w:rsid w:val="3AD77AEE"/>
    <w:rsid w:val="3B3070F6"/>
    <w:rsid w:val="3B443201"/>
    <w:rsid w:val="3B5E3E17"/>
    <w:rsid w:val="3B76046C"/>
    <w:rsid w:val="3B7E6C33"/>
    <w:rsid w:val="3BA13919"/>
    <w:rsid w:val="3BB6462D"/>
    <w:rsid w:val="3BE92317"/>
    <w:rsid w:val="3BF04668"/>
    <w:rsid w:val="3BF36762"/>
    <w:rsid w:val="3C14475F"/>
    <w:rsid w:val="3C2D26D6"/>
    <w:rsid w:val="3C566C17"/>
    <w:rsid w:val="3C5F4E16"/>
    <w:rsid w:val="3C9274AC"/>
    <w:rsid w:val="3CA15DE9"/>
    <w:rsid w:val="3CD51E72"/>
    <w:rsid w:val="3D282D51"/>
    <w:rsid w:val="3D2F5C32"/>
    <w:rsid w:val="3D5F25B0"/>
    <w:rsid w:val="3D61147F"/>
    <w:rsid w:val="3D8B5E5F"/>
    <w:rsid w:val="3DC950E2"/>
    <w:rsid w:val="3DE17504"/>
    <w:rsid w:val="3E210B81"/>
    <w:rsid w:val="3E5977EE"/>
    <w:rsid w:val="3EA20557"/>
    <w:rsid w:val="3EA82A4C"/>
    <w:rsid w:val="3EAC0549"/>
    <w:rsid w:val="3ED616A5"/>
    <w:rsid w:val="3F073AB6"/>
    <w:rsid w:val="3F3E4515"/>
    <w:rsid w:val="3FAD196A"/>
    <w:rsid w:val="3FE61EE5"/>
    <w:rsid w:val="40010245"/>
    <w:rsid w:val="400A0257"/>
    <w:rsid w:val="406508EE"/>
    <w:rsid w:val="4068578D"/>
    <w:rsid w:val="408D6263"/>
    <w:rsid w:val="40B5786F"/>
    <w:rsid w:val="40E9393E"/>
    <w:rsid w:val="40FF6A93"/>
    <w:rsid w:val="41086485"/>
    <w:rsid w:val="412B0DA3"/>
    <w:rsid w:val="415573C2"/>
    <w:rsid w:val="41562860"/>
    <w:rsid w:val="416627DB"/>
    <w:rsid w:val="41786157"/>
    <w:rsid w:val="41887D25"/>
    <w:rsid w:val="41B40CEE"/>
    <w:rsid w:val="4299604D"/>
    <w:rsid w:val="431636FE"/>
    <w:rsid w:val="43732703"/>
    <w:rsid w:val="43BF4F41"/>
    <w:rsid w:val="43C663D5"/>
    <w:rsid w:val="43E077BD"/>
    <w:rsid w:val="43EB55D6"/>
    <w:rsid w:val="43EF0F7A"/>
    <w:rsid w:val="43F22A80"/>
    <w:rsid w:val="44395162"/>
    <w:rsid w:val="44613685"/>
    <w:rsid w:val="446875D8"/>
    <w:rsid w:val="44864388"/>
    <w:rsid w:val="44DE7A3F"/>
    <w:rsid w:val="44E03403"/>
    <w:rsid w:val="45E9561A"/>
    <w:rsid w:val="45F14047"/>
    <w:rsid w:val="45F52E3E"/>
    <w:rsid w:val="465D7AFE"/>
    <w:rsid w:val="467631A7"/>
    <w:rsid w:val="46900A5D"/>
    <w:rsid w:val="469E2CEC"/>
    <w:rsid w:val="46A1108D"/>
    <w:rsid w:val="46A447AE"/>
    <w:rsid w:val="46DA441E"/>
    <w:rsid w:val="46E53528"/>
    <w:rsid w:val="46E67E81"/>
    <w:rsid w:val="47566DB3"/>
    <w:rsid w:val="47691FCD"/>
    <w:rsid w:val="47BE62D6"/>
    <w:rsid w:val="48086987"/>
    <w:rsid w:val="48317291"/>
    <w:rsid w:val="48460EA5"/>
    <w:rsid w:val="484B02FF"/>
    <w:rsid w:val="485F7024"/>
    <w:rsid w:val="486B17CE"/>
    <w:rsid w:val="48712E23"/>
    <w:rsid w:val="487A687C"/>
    <w:rsid w:val="48D877F1"/>
    <w:rsid w:val="48E70666"/>
    <w:rsid w:val="493868DE"/>
    <w:rsid w:val="49716641"/>
    <w:rsid w:val="49766D0A"/>
    <w:rsid w:val="499910A3"/>
    <w:rsid w:val="49C173DC"/>
    <w:rsid w:val="49DB2741"/>
    <w:rsid w:val="49E25274"/>
    <w:rsid w:val="4A1C039D"/>
    <w:rsid w:val="4A3B039B"/>
    <w:rsid w:val="4A744D39"/>
    <w:rsid w:val="4B2125F4"/>
    <w:rsid w:val="4BEE4564"/>
    <w:rsid w:val="4BFC2CA0"/>
    <w:rsid w:val="4C0D473C"/>
    <w:rsid w:val="4C215BBF"/>
    <w:rsid w:val="4C2B26A3"/>
    <w:rsid w:val="4C6877E5"/>
    <w:rsid w:val="4C746CD3"/>
    <w:rsid w:val="4CEB717D"/>
    <w:rsid w:val="4CED04B3"/>
    <w:rsid w:val="4CF70F62"/>
    <w:rsid w:val="4D5F4F21"/>
    <w:rsid w:val="4D6A468D"/>
    <w:rsid w:val="4E307D23"/>
    <w:rsid w:val="4E3410BF"/>
    <w:rsid w:val="4E4E2DB0"/>
    <w:rsid w:val="4E716879"/>
    <w:rsid w:val="4EA86137"/>
    <w:rsid w:val="4ED2574D"/>
    <w:rsid w:val="4F1973FE"/>
    <w:rsid w:val="4F296E4F"/>
    <w:rsid w:val="4F5E55EF"/>
    <w:rsid w:val="4F65097A"/>
    <w:rsid w:val="4F706B7C"/>
    <w:rsid w:val="4F992A10"/>
    <w:rsid w:val="506C1444"/>
    <w:rsid w:val="51016BC2"/>
    <w:rsid w:val="51137267"/>
    <w:rsid w:val="514315C5"/>
    <w:rsid w:val="514905BA"/>
    <w:rsid w:val="519D4FF3"/>
    <w:rsid w:val="51A05652"/>
    <w:rsid w:val="51C50160"/>
    <w:rsid w:val="51DA6CD8"/>
    <w:rsid w:val="51E21B4F"/>
    <w:rsid w:val="51E30280"/>
    <w:rsid w:val="51F23787"/>
    <w:rsid w:val="52057D25"/>
    <w:rsid w:val="520842FA"/>
    <w:rsid w:val="520A750F"/>
    <w:rsid w:val="521B504A"/>
    <w:rsid w:val="52301F99"/>
    <w:rsid w:val="528F178B"/>
    <w:rsid w:val="52B16063"/>
    <w:rsid w:val="530D36FD"/>
    <w:rsid w:val="531F2F47"/>
    <w:rsid w:val="534F05FD"/>
    <w:rsid w:val="53996C9C"/>
    <w:rsid w:val="53AE54CE"/>
    <w:rsid w:val="53B65C90"/>
    <w:rsid w:val="53DE4748"/>
    <w:rsid w:val="541D020F"/>
    <w:rsid w:val="542F1F2F"/>
    <w:rsid w:val="547477D2"/>
    <w:rsid w:val="54ED4BB7"/>
    <w:rsid w:val="554C40E7"/>
    <w:rsid w:val="55A87B8A"/>
    <w:rsid w:val="55E11F18"/>
    <w:rsid w:val="55E552CD"/>
    <w:rsid w:val="55EB10C5"/>
    <w:rsid w:val="56037112"/>
    <w:rsid w:val="56104BF2"/>
    <w:rsid w:val="56225A8C"/>
    <w:rsid w:val="564C5AEC"/>
    <w:rsid w:val="565C3ED9"/>
    <w:rsid w:val="566F6DC6"/>
    <w:rsid w:val="56A72206"/>
    <w:rsid w:val="56CA7FD0"/>
    <w:rsid w:val="56F7427C"/>
    <w:rsid w:val="572F507A"/>
    <w:rsid w:val="5745027B"/>
    <w:rsid w:val="57E80D5E"/>
    <w:rsid w:val="57FA38D1"/>
    <w:rsid w:val="58471724"/>
    <w:rsid w:val="585A35FA"/>
    <w:rsid w:val="58632238"/>
    <w:rsid w:val="589622B8"/>
    <w:rsid w:val="59301824"/>
    <w:rsid w:val="59973FBC"/>
    <w:rsid w:val="5A0F2093"/>
    <w:rsid w:val="5A2B5EF5"/>
    <w:rsid w:val="5A3359D1"/>
    <w:rsid w:val="5A5D5255"/>
    <w:rsid w:val="5AF3495B"/>
    <w:rsid w:val="5AF90702"/>
    <w:rsid w:val="5B5165E9"/>
    <w:rsid w:val="5BCD39CD"/>
    <w:rsid w:val="5BDF23FE"/>
    <w:rsid w:val="5C1F59AF"/>
    <w:rsid w:val="5CE56A0F"/>
    <w:rsid w:val="5D031DE9"/>
    <w:rsid w:val="5D111ED1"/>
    <w:rsid w:val="5D213B6E"/>
    <w:rsid w:val="5D760AF8"/>
    <w:rsid w:val="5D7B6AED"/>
    <w:rsid w:val="5DD8141A"/>
    <w:rsid w:val="5DF65B28"/>
    <w:rsid w:val="5E041752"/>
    <w:rsid w:val="5E7068EA"/>
    <w:rsid w:val="5E7900F6"/>
    <w:rsid w:val="5EA875AD"/>
    <w:rsid w:val="5EF75988"/>
    <w:rsid w:val="5EFA3F2F"/>
    <w:rsid w:val="5F2B6DD2"/>
    <w:rsid w:val="5F4853B9"/>
    <w:rsid w:val="5F76315F"/>
    <w:rsid w:val="5F7D3333"/>
    <w:rsid w:val="5F973364"/>
    <w:rsid w:val="5FF501F7"/>
    <w:rsid w:val="5FFB035A"/>
    <w:rsid w:val="5FFD0625"/>
    <w:rsid w:val="6019486A"/>
    <w:rsid w:val="607700AC"/>
    <w:rsid w:val="609F7CCD"/>
    <w:rsid w:val="60AB1444"/>
    <w:rsid w:val="60C138E3"/>
    <w:rsid w:val="60C96D47"/>
    <w:rsid w:val="60CE4B9A"/>
    <w:rsid w:val="60D6101E"/>
    <w:rsid w:val="60F06516"/>
    <w:rsid w:val="611A363E"/>
    <w:rsid w:val="61231225"/>
    <w:rsid w:val="61385890"/>
    <w:rsid w:val="61E71BB1"/>
    <w:rsid w:val="626D0FD2"/>
    <w:rsid w:val="62913FBC"/>
    <w:rsid w:val="62F1225B"/>
    <w:rsid w:val="631B255D"/>
    <w:rsid w:val="63413B51"/>
    <w:rsid w:val="634D130C"/>
    <w:rsid w:val="634F2F58"/>
    <w:rsid w:val="639332AF"/>
    <w:rsid w:val="63A97597"/>
    <w:rsid w:val="63D82FED"/>
    <w:rsid w:val="64013CA9"/>
    <w:rsid w:val="64022588"/>
    <w:rsid w:val="6504510C"/>
    <w:rsid w:val="65314355"/>
    <w:rsid w:val="65AE6368"/>
    <w:rsid w:val="65DB0E1B"/>
    <w:rsid w:val="660B6D5A"/>
    <w:rsid w:val="666F29D3"/>
    <w:rsid w:val="66AD3BD4"/>
    <w:rsid w:val="67076AA5"/>
    <w:rsid w:val="671E0D74"/>
    <w:rsid w:val="671F7586"/>
    <w:rsid w:val="675B4F32"/>
    <w:rsid w:val="677333FD"/>
    <w:rsid w:val="679E28CC"/>
    <w:rsid w:val="67C45707"/>
    <w:rsid w:val="67DF459D"/>
    <w:rsid w:val="67E15CB8"/>
    <w:rsid w:val="681C4817"/>
    <w:rsid w:val="68362CE8"/>
    <w:rsid w:val="687436E1"/>
    <w:rsid w:val="68C60C3E"/>
    <w:rsid w:val="68DF16C0"/>
    <w:rsid w:val="690B5E38"/>
    <w:rsid w:val="696A5E49"/>
    <w:rsid w:val="69BF75B1"/>
    <w:rsid w:val="69E60D7D"/>
    <w:rsid w:val="6A225AEB"/>
    <w:rsid w:val="6A27352A"/>
    <w:rsid w:val="6A521B7F"/>
    <w:rsid w:val="6AA541B8"/>
    <w:rsid w:val="6AB311B3"/>
    <w:rsid w:val="6B06459E"/>
    <w:rsid w:val="6B0A43D0"/>
    <w:rsid w:val="6B4C55F7"/>
    <w:rsid w:val="6B8020BC"/>
    <w:rsid w:val="6BB25D6B"/>
    <w:rsid w:val="6BEE02F1"/>
    <w:rsid w:val="6C590D0B"/>
    <w:rsid w:val="6C703CE3"/>
    <w:rsid w:val="6CEB6FF1"/>
    <w:rsid w:val="6D0E0130"/>
    <w:rsid w:val="6D1600AB"/>
    <w:rsid w:val="6D674ADC"/>
    <w:rsid w:val="6D8640E0"/>
    <w:rsid w:val="6D954C88"/>
    <w:rsid w:val="6DA45C50"/>
    <w:rsid w:val="6DB75658"/>
    <w:rsid w:val="6DDB57F1"/>
    <w:rsid w:val="6DE04C7B"/>
    <w:rsid w:val="6E2B1741"/>
    <w:rsid w:val="6E5C3762"/>
    <w:rsid w:val="6E9A7825"/>
    <w:rsid w:val="6EB6550C"/>
    <w:rsid w:val="6EFF0CDC"/>
    <w:rsid w:val="6F1C07F1"/>
    <w:rsid w:val="6F670F9B"/>
    <w:rsid w:val="6F836B9B"/>
    <w:rsid w:val="6FB206A4"/>
    <w:rsid w:val="6FB37990"/>
    <w:rsid w:val="6FC65FE7"/>
    <w:rsid w:val="6FD8633B"/>
    <w:rsid w:val="70043F21"/>
    <w:rsid w:val="70C96FB4"/>
    <w:rsid w:val="70FF16CD"/>
    <w:rsid w:val="710A2DB6"/>
    <w:rsid w:val="71CA525E"/>
    <w:rsid w:val="71E11ACA"/>
    <w:rsid w:val="71FD1FBB"/>
    <w:rsid w:val="72055089"/>
    <w:rsid w:val="720E247B"/>
    <w:rsid w:val="722441D4"/>
    <w:rsid w:val="72937C49"/>
    <w:rsid w:val="72981EE3"/>
    <w:rsid w:val="729D4CD2"/>
    <w:rsid w:val="72A61621"/>
    <w:rsid w:val="73241F11"/>
    <w:rsid w:val="732E067F"/>
    <w:rsid w:val="737450E0"/>
    <w:rsid w:val="73C56094"/>
    <w:rsid w:val="73F01AAF"/>
    <w:rsid w:val="73FD6BFE"/>
    <w:rsid w:val="74054476"/>
    <w:rsid w:val="742F38C4"/>
    <w:rsid w:val="74436497"/>
    <w:rsid w:val="745C5B34"/>
    <w:rsid w:val="7477425F"/>
    <w:rsid w:val="749D5963"/>
    <w:rsid w:val="74AB66DC"/>
    <w:rsid w:val="74C4154C"/>
    <w:rsid w:val="751A5F84"/>
    <w:rsid w:val="753044B5"/>
    <w:rsid w:val="755B06A7"/>
    <w:rsid w:val="756D249D"/>
    <w:rsid w:val="756D528F"/>
    <w:rsid w:val="757F76BA"/>
    <w:rsid w:val="75841871"/>
    <w:rsid w:val="75847558"/>
    <w:rsid w:val="75937F0E"/>
    <w:rsid w:val="75956FFF"/>
    <w:rsid w:val="75A27CE1"/>
    <w:rsid w:val="75B173B4"/>
    <w:rsid w:val="75BE6B48"/>
    <w:rsid w:val="75EC58E3"/>
    <w:rsid w:val="761B0162"/>
    <w:rsid w:val="764E4CFF"/>
    <w:rsid w:val="76B82D78"/>
    <w:rsid w:val="76DD52D3"/>
    <w:rsid w:val="76EF68C0"/>
    <w:rsid w:val="76F42856"/>
    <w:rsid w:val="775728B8"/>
    <w:rsid w:val="776F00F4"/>
    <w:rsid w:val="777C60C6"/>
    <w:rsid w:val="77AA2D01"/>
    <w:rsid w:val="77B57DC4"/>
    <w:rsid w:val="77C440BD"/>
    <w:rsid w:val="781F4E85"/>
    <w:rsid w:val="78327529"/>
    <w:rsid w:val="78670469"/>
    <w:rsid w:val="78FE477C"/>
    <w:rsid w:val="790B5225"/>
    <w:rsid w:val="791E70A8"/>
    <w:rsid w:val="79827885"/>
    <w:rsid w:val="79B40FC6"/>
    <w:rsid w:val="79E4589E"/>
    <w:rsid w:val="7A1510B8"/>
    <w:rsid w:val="7A5E2FEC"/>
    <w:rsid w:val="7A6C3DD2"/>
    <w:rsid w:val="7A8C6BB3"/>
    <w:rsid w:val="7AA61802"/>
    <w:rsid w:val="7AA830C2"/>
    <w:rsid w:val="7AC32586"/>
    <w:rsid w:val="7ACF2137"/>
    <w:rsid w:val="7AED1DBD"/>
    <w:rsid w:val="7B043560"/>
    <w:rsid w:val="7B222E8A"/>
    <w:rsid w:val="7B5F390F"/>
    <w:rsid w:val="7B947CF5"/>
    <w:rsid w:val="7BA57EF4"/>
    <w:rsid w:val="7BAE073C"/>
    <w:rsid w:val="7BE27EFF"/>
    <w:rsid w:val="7C5F2DFD"/>
    <w:rsid w:val="7CA4742E"/>
    <w:rsid w:val="7CDE1DBD"/>
    <w:rsid w:val="7CEF7BF1"/>
    <w:rsid w:val="7CF57CC2"/>
    <w:rsid w:val="7D186D30"/>
    <w:rsid w:val="7D354082"/>
    <w:rsid w:val="7D83538D"/>
    <w:rsid w:val="7D8A5F25"/>
    <w:rsid w:val="7D943A85"/>
    <w:rsid w:val="7DB0448C"/>
    <w:rsid w:val="7DBD7462"/>
    <w:rsid w:val="7DD20489"/>
    <w:rsid w:val="7DEA7F0D"/>
    <w:rsid w:val="7E5F9AA4"/>
    <w:rsid w:val="7E906E20"/>
    <w:rsid w:val="7F28398E"/>
    <w:rsid w:val="7F6A4CF4"/>
    <w:rsid w:val="7F835D03"/>
    <w:rsid w:val="7FBE2FE4"/>
    <w:rsid w:val="7FF73F06"/>
    <w:rsid w:val="8FFC8888"/>
    <w:rsid w:val="A7F73C99"/>
    <w:rsid w:val="BFFE3BF4"/>
    <w:rsid w:val="DFEBDA37"/>
    <w:rsid w:val="EF6FCA1D"/>
    <w:rsid w:val="EFFF57D6"/>
    <w:rsid w:val="FD33A2D0"/>
    <w:rsid w:val="FDFD77FF"/>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29</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2025-11-06T11:17:13Z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