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墨脱县</w:t>
      </w:r>
      <w:r>
        <w:rPr>
          <w:rFonts w:hint="eastAsia" w:asciiTheme="majorEastAsia" w:hAnsiTheme="majorEastAsia" w:eastAsiaTheme="majorEastAsia" w:cstheme="majorEastAsia"/>
          <w:b/>
          <w:bCs/>
          <w:color w:val="auto"/>
          <w:sz w:val="44"/>
          <w:szCs w:val="44"/>
          <w:lang w:val="en-US" w:eastAsia="zh-CN"/>
        </w:rPr>
        <w:t>德兴乡小学</w:t>
      </w:r>
      <w:r>
        <w:rPr>
          <w:rFonts w:hint="eastAsia" w:asciiTheme="majorEastAsia" w:hAnsiTheme="majorEastAsia" w:eastAsiaTheme="majorEastAsia" w:cstheme="majorEastAsia"/>
          <w:b/>
          <w:bCs/>
          <w:color w:val="auto"/>
          <w:sz w:val="44"/>
          <w:szCs w:val="44"/>
        </w:rPr>
        <w:t>2024年度部门决算公开</w:t>
      </w:r>
    </w:p>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报告</w:t>
      </w: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8"/>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8"/>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7"/>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1704_WPSOffice_Level1"/>
      <w:bookmarkStart w:id="3" w:name="_Toc10720_WPSOffice_Level1"/>
      <w:bookmarkStart w:id="4" w:name="_Toc22941_WPSOffice_Level1"/>
      <w:bookmarkStart w:id="5" w:name="_Toc23465_WPSOffice_Level1"/>
      <w:bookmarkStart w:id="6" w:name="_Toc32433_WPSOffice_Level1"/>
      <w:bookmarkStart w:id="7" w:name="_Toc10049_WPSOffice_Level1"/>
      <w:bookmarkStart w:id="8" w:name="_Toc24238_WPSOffice_Level2"/>
      <w:bookmarkStart w:id="9" w:name="_Toc32622_WPSOffice_Level2"/>
      <w:bookmarkStart w:id="10" w:name="_Toc14159_WPSOffice_Level2"/>
      <w:bookmarkStart w:id="11" w:name="_Toc20274_WPSOffice_Level2"/>
      <w:bookmarkStart w:id="12" w:name="_Toc20205_WPSOffice_Level2"/>
      <w:bookmarkStart w:id="13" w:name="_Toc26580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spacing w:line="578" w:lineRule="exact"/>
        <w:ind w:firstLine="640" w:firstLineChars="200"/>
        <w:rPr>
          <w:rFonts w:hint="eastAsia" w:ascii="楷体" w:hAnsi="楷体" w:eastAsia="楷体" w:cs="楷体"/>
          <w:color w:val="auto"/>
          <w:sz w:val="32"/>
          <w:szCs w:val="32"/>
          <w:lang w:eastAsia="zh-CN"/>
        </w:rPr>
      </w:pPr>
      <w:r>
        <w:rPr>
          <w:rFonts w:hint="eastAsia" w:ascii="黑体" w:hAnsi="黑体" w:eastAsia="黑体" w:cs="黑体"/>
          <w:color w:val="auto"/>
          <w:sz w:val="32"/>
          <w:szCs w:val="32"/>
        </w:rPr>
        <w:t>一、部门</w:t>
      </w:r>
      <w:bookmarkEnd w:id="8"/>
      <w:r>
        <w:rPr>
          <w:rFonts w:hint="eastAsia" w:ascii="黑体" w:hAnsi="黑体" w:eastAsia="黑体" w:cs="黑体"/>
          <w:color w:val="auto"/>
          <w:sz w:val="32"/>
          <w:szCs w:val="32"/>
        </w:rPr>
        <w:t>（单位）职责</w:t>
      </w:r>
      <w:bookmarkEnd w:id="9"/>
      <w:bookmarkEnd w:id="10"/>
      <w:bookmarkEnd w:id="11"/>
      <w:bookmarkEnd w:id="12"/>
      <w:bookmarkEnd w:id="13"/>
      <w:bookmarkStart w:id="14" w:name="_Toc4833_WPSOffice_Level2"/>
      <w:bookmarkStart w:id="15" w:name="_Toc24474_WPSOffice_Level2"/>
      <w:bookmarkStart w:id="16" w:name="_Toc24059_WPSOffice_Level2"/>
      <w:bookmarkStart w:id="17" w:name="_Toc6572_WPSOffice_Level2"/>
      <w:bookmarkStart w:id="18" w:name="_Toc17796_WPSOffice_Level2"/>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1.全面贯彻执行党和国家的教育方针、政策、法规，自觉抵制各种违反教育方针、政策、法规的倾向，实施素质教育。坚持社会主义办学方向，努力培养德、智、体全面发展的社会主义事业的建设者和接班人。按</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"https://www.baidu.com/s?wd=%E6%95%99%E8%82%B2%E8%A7%84%E5%BE%8B&amp;tn=SE_PcZhidaonwhc_ngpagmjz&amp;rsv_dl=gh_pc_zhidao"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教育规律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办学，不断提高教育质量。</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2.做好基础教育，负责实施义务教育文化，素质教育。</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3.根据教育规律、组织制定学校发展的远景规划、近期目标、学年和学期各项工作计划以及工作指标并组织实施。</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4.制定和健全各项规章制度，规范办学行为，培养良好校风，逐步实现管理决策的科学化，管理方法的定量化和管理手段的现代化。</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5.负责教师队伍建设工作，决定校内教职工的工作安排，组织对教职工进行考核、实施奖惩。</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6.领导和组织学校的思想政治工作，把德育工作放在首位。</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7.研究思想政治工作的要求、内容、方法和规律，不断加强学生的思想政治、法律纪律和道德品质教育以及做好管理工作。</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8.教育全体职工做到教书育人、管理育人、服务育人、搞好学校、社会、家庭三结合教育。</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9.加强对财务工作的领导，正确使用各项经费，不断改善办</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条件，强化安全工作管理，创造良好的育人环境。</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10.加强与党支部的合作，主动接受学校党组织的监督，搞好领导班子的团结和协作。</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11.依靠群众办学，实行民主管理和民主监督，定期向家长报告工作，充分发挥家长参与学校民主管理和民主监督的作用。</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12.主持学校与学生家长及社会的联系工作和外来工作，搞好校际间的交往，做好与社会各界的联系工作，争取各方面力量对学校的支持。</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13.组织教师的业务学习，</w:t>
      </w:r>
      <w:r>
        <w:rPr>
          <w:rFonts w:hint="eastAsia" w:ascii="仿宋_GB2312" w:hAnsi="仿宋_GB2312" w:eastAsia="仿宋_GB2312" w:cs="仿宋_GB2312"/>
          <w:sz w:val="32"/>
          <w:szCs w:val="32"/>
          <w:lang w:val="en-US" w:eastAsia="zh-CN"/>
        </w:rPr>
        <w:t>制定</w:t>
      </w:r>
      <w:r>
        <w:rPr>
          <w:rFonts w:hint="eastAsia" w:ascii="仿宋_GB2312" w:hAnsi="仿宋_GB2312" w:eastAsia="仿宋_GB2312" w:cs="仿宋_GB2312"/>
          <w:sz w:val="32"/>
          <w:szCs w:val="32"/>
        </w:rPr>
        <w:t>教师进修规划，定期检查执行情况，做好师资力量的安排和调整工作。</w:t>
      </w:r>
    </w:p>
    <w:p>
      <w:p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二、机构设置</w:t>
      </w:r>
      <w:bookmarkEnd w:id="14"/>
      <w:bookmarkEnd w:id="15"/>
      <w:bookmarkEnd w:id="16"/>
      <w:bookmarkEnd w:id="17"/>
      <w:bookmarkEnd w:id="18"/>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bookmarkStart w:id="19" w:name="_Toc28253_WPSOffice_Level1"/>
      <w:bookmarkStart w:id="20" w:name="_Toc30451_WPSOffice_Level1"/>
      <w:bookmarkStart w:id="21" w:name="_Toc30690_WPSOffice_Level1"/>
      <w:bookmarkStart w:id="22" w:name="_Toc8164_WPSOffice_Level1"/>
      <w:bookmarkStart w:id="23" w:name="_Toc6234_WPSOffice_Level1"/>
      <w:bookmarkStart w:id="24" w:name="_Toc15521_WPSOffice_Level1"/>
      <w:bookmarkStart w:id="25" w:name="_Toc4029_WPSOffice_Level2"/>
      <w:bookmarkStart w:id="26" w:name="_Toc6211_WPSOffice_Level2"/>
      <w:bookmarkStart w:id="27" w:name="_Toc8867_WPSOffice_Level2"/>
      <w:bookmarkStart w:id="28" w:name="_Toc32695_WPSOffice_Level2"/>
      <w:bookmarkStart w:id="29" w:name="_Toc11518_WPSOffice_Level2"/>
      <w:bookmarkStart w:id="30" w:name="_Toc32472_WPSOffice_Level2"/>
      <w:r>
        <w:rPr>
          <w:rFonts w:hint="eastAsia" w:ascii="仿宋_GB2312" w:hAnsi="仿宋_GB2312" w:eastAsia="仿宋_GB2312" w:cs="仿宋_GB2312"/>
          <w:sz w:val="32"/>
          <w:szCs w:val="32"/>
        </w:rPr>
        <w:t>德兴乡小学设有校办、党支部、教务处、德育处、总务处、少队、安全办。</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p>
    <w:p>
      <w:pPr>
        <w:numPr>
          <w:ilvl w:val="0"/>
          <w:numId w:val="2"/>
        </w:numPr>
        <w:spacing w:line="578" w:lineRule="exact"/>
        <w:jc w:val="center"/>
        <w:rPr>
          <w:rFonts w:hint="eastAsia" w:ascii="黑体" w:hAnsi="ˎ̥" w:eastAsia="黑体"/>
          <w:color w:val="auto"/>
          <w:sz w:val="32"/>
          <w:szCs w:val="32"/>
        </w:rPr>
        <w:sectPr>
          <w:footerReference r:id="rId3" w:type="default"/>
          <w:footerReference r:id="rId4" w:type="even"/>
          <w:pgSz w:w="11906" w:h="16838"/>
          <w:pgMar w:top="2098" w:right="1474" w:bottom="1984" w:left="1587" w:header="851" w:footer="992" w:gutter="0"/>
          <w:cols w:space="720" w:num="1"/>
          <w:docGrid w:type="lines" w:linePitch="312" w:charSpace="0"/>
        </w:sectPr>
      </w:pPr>
      <w:r>
        <w:rPr>
          <w:rFonts w:hint="eastAsia" w:ascii="黑体" w:hAnsi="ˎ̥" w:eastAsia="黑体"/>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w:t>
      </w:r>
      <w:bookmarkEnd w:id="19"/>
      <w:bookmarkEnd w:id="20"/>
      <w:bookmarkEnd w:id="21"/>
      <w:bookmarkEnd w:id="22"/>
      <w:bookmarkEnd w:id="23"/>
      <w:bookmarkEnd w:id="24"/>
    </w:p>
    <w:bookmarkEnd w:id="25"/>
    <w:bookmarkEnd w:id="26"/>
    <w:bookmarkEnd w:id="27"/>
    <w:bookmarkEnd w:id="28"/>
    <w:bookmarkEnd w:id="29"/>
    <w:bookmarkEnd w:id="30"/>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27"/>
        <w:gridCol w:w="1027"/>
        <w:gridCol w:w="1027"/>
        <w:gridCol w:w="575"/>
        <w:gridCol w:w="1027"/>
        <w:gridCol w:w="1306"/>
        <w:gridCol w:w="1661"/>
        <w:gridCol w:w="1027"/>
        <w:gridCol w:w="480"/>
        <w:gridCol w:w="502"/>
        <w:gridCol w:w="1028"/>
        <w:gridCol w:w="2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2"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bookmarkStart w:id="31" w:name="_Toc26621_WPSOffice_Level2"/>
            <w:bookmarkStart w:id="32" w:name="_Toc28622_WPSOffice_Level2"/>
            <w:bookmarkStart w:id="33" w:name="_Toc30334_WPSOffice_Level2"/>
            <w:bookmarkStart w:id="34" w:name="_Toc14349_WPSOffice_Level2"/>
            <w:bookmarkStart w:id="35" w:name="_Toc25608_WPSOffice_Level2"/>
            <w:bookmarkStart w:id="36" w:name="_Toc23139_WPSOffice_Level2"/>
            <w:r>
              <w:rPr>
                <w:rFonts w:hint="eastAsia" w:ascii="宋体" w:hAnsi="宋体" w:eastAsia="宋体" w:cs="宋体"/>
                <w:b/>
                <w:i w:val="0"/>
                <w:color w:val="000000"/>
                <w:kern w:val="0"/>
                <w:sz w:val="20"/>
                <w:szCs w:val="20"/>
                <w:u w:val="none"/>
                <w:lang w:val="en-US" w:eastAsia="zh-CN" w:bidi="ar"/>
              </w:rPr>
              <w:t>附件1-1</w:t>
            </w:r>
          </w:p>
        </w:tc>
        <w:tc>
          <w:tcPr>
            <w:tcW w:w="402"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02"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3"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02"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0"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02"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8"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4"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02"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6"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0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2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1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6"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2344" w:type="pct"/>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部门(单位)：墨脱县德兴乡小学</w:t>
            </w:r>
          </w:p>
        </w:tc>
        <w:tc>
          <w:tcPr>
            <w:tcW w:w="650"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402" w:type="pct"/>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000000"/>
                <w:sz w:val="20"/>
                <w:szCs w:val="20"/>
                <w:u w:val="none"/>
              </w:rPr>
            </w:pPr>
          </w:p>
        </w:tc>
        <w:tc>
          <w:tcPr>
            <w:tcW w:w="188"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194"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402"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816"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234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收入</w:t>
            </w:r>
          </w:p>
        </w:tc>
        <w:tc>
          <w:tcPr>
            <w:tcW w:w="2655"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1,515.13</w:t>
            </w: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29.21</w:t>
            </w: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三、国有资本经营预算财政拨款收入</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四、上级补助收入</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五、事业收入</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六、经营收入</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七、附属单位上缴收入</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八、其他收入</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1,544.34</w:t>
            </w: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使用非财政拨款结余（含专用结余）</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31" w:type="pct"/>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51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1,544.34</w:t>
            </w:r>
          </w:p>
        </w:tc>
        <w:tc>
          <w:tcPr>
            <w:tcW w:w="1436" w:type="pct"/>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81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5000" w:type="pct"/>
            <w:gridSpan w:val="12"/>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注：1.本表反映部门（单位）本年度的总收支和年末结转结余情况。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2.本套报表金额单位转换时可能存在尾数误差。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000" w:type="pct"/>
            <w:gridSpan w:val="12"/>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spacing w:line="578" w:lineRule="exact"/>
        <w:rPr>
          <w:rFonts w:hint="eastAsia" w:ascii="黑体" w:hAnsi="黑体" w:eastAsia="黑体" w:cs="黑体"/>
          <w:color w:val="auto"/>
          <w:sz w:val="32"/>
          <w:szCs w:val="32"/>
        </w:rPr>
        <w:sectPr>
          <w:pgSz w:w="16838" w:h="11906" w:orient="landscape"/>
          <w:pgMar w:top="1587" w:right="2098" w:bottom="1474" w:left="1984" w:header="851" w:footer="992" w:gutter="0"/>
          <w:cols w:space="720" w:num="1"/>
          <w:docGrid w:type="lines" w:linePitch="312" w:charSpace="0"/>
        </w:sectPr>
      </w:pP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6"/>
        <w:gridCol w:w="308"/>
        <w:gridCol w:w="274"/>
        <w:gridCol w:w="3283"/>
        <w:gridCol w:w="1279"/>
        <w:gridCol w:w="1251"/>
        <w:gridCol w:w="1228"/>
        <w:gridCol w:w="925"/>
        <w:gridCol w:w="978"/>
        <w:gridCol w:w="1582"/>
        <w:gridCol w:w="13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79"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附件1-2</w:t>
            </w:r>
          </w:p>
        </w:tc>
        <w:tc>
          <w:tcPr>
            <w:tcW w:w="129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0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9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8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8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5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收入决算公开表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3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9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0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9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8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8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56"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2177"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部门(单位)：墨脱县德兴乡小学</w:t>
            </w:r>
          </w:p>
        </w:tc>
        <w:tc>
          <w:tcPr>
            <w:tcW w:w="983"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368"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389"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625"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456"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12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财政拨款收入</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上级补助收入</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事业收入</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经营收入</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附属单位上缴收入</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7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38"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12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1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1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4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3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1,544.34</w:t>
            </w:r>
          </w:p>
        </w:tc>
        <w:tc>
          <w:tcPr>
            <w:tcW w:w="4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1,544.34</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1,177.16</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1,177.16</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1,177.16</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1,177.16</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2050201</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42.19</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42.19</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小学教育</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1,134.97</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1,134.97</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135.86</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135.86</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135.86</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135.86</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135.86</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135.86</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64.90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64.90</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64.90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64.90</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64.90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64.90</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城乡社区支出</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27.71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27.71</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21208</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国有土地使用权出让收入安排的支出</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6.86</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6.86</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2120806</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土地出让业务支出</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6.86</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6.86</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21210</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国有土地收益基金安排的支出</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20.85</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2121099</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其他国有土地收益基金支出</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20.85</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137.21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137.21</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137.21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137.21</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89.62</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89.62</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47.59</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47.59</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22960</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彩票公益金安排的支出</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7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2296004</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用于教育事业的彩票公益金支出</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注：本表反映部门（单位）本年度取得的各项收入情况。</w:t>
            </w:r>
          </w:p>
        </w:tc>
      </w:tr>
    </w:tbl>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tbl>
      <w:tblPr>
        <w:tblStyle w:val="9"/>
        <w:tblW w:w="13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8"/>
        <w:gridCol w:w="345"/>
        <w:gridCol w:w="480"/>
        <w:gridCol w:w="3570"/>
        <w:gridCol w:w="1380"/>
        <w:gridCol w:w="1305"/>
        <w:gridCol w:w="1350"/>
        <w:gridCol w:w="1530"/>
        <w:gridCol w:w="1185"/>
        <w:gridCol w:w="22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33"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附件1-3</w:t>
            </w:r>
          </w:p>
        </w:tc>
        <w:tc>
          <w:tcPr>
            <w:tcW w:w="357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0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5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3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8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0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0" w:type="auto"/>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0" w:type="auto"/>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部门(单位)：墨脱县德兴乡小学</w:t>
            </w: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0" w:type="auto"/>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23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3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上缴上级支出</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经营支出</w:t>
            </w:r>
          </w:p>
        </w:tc>
        <w:tc>
          <w:tcPr>
            <w:tcW w:w="2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2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4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3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4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2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4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1,544.34</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1,279.05</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265.29</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土地出让业务支出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国有土地收益基金安排的支出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其他国有土地收益基金支出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137.21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137.21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137.21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137.21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2296004</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用于教育事业的彩票公益金支出</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0" w:type="auto"/>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注：本表反映部门（单位）本年度取得的各项支出情况。</w:t>
            </w:r>
          </w:p>
        </w:tc>
      </w:tr>
    </w:tbl>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56"/>
        <w:gridCol w:w="956"/>
        <w:gridCol w:w="516"/>
        <w:gridCol w:w="148"/>
        <w:gridCol w:w="475"/>
        <w:gridCol w:w="1170"/>
        <w:gridCol w:w="956"/>
        <w:gridCol w:w="958"/>
        <w:gridCol w:w="762"/>
        <w:gridCol w:w="135"/>
        <w:gridCol w:w="639"/>
        <w:gridCol w:w="1073"/>
        <w:gridCol w:w="1347"/>
        <w:gridCol w:w="1278"/>
        <w:gridCol w:w="14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374"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附件1-4</w:t>
            </w:r>
          </w:p>
        </w:tc>
        <w:tc>
          <w:tcPr>
            <w:tcW w:w="37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4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7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48"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401"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部门(单位)：墨脱县德兴乡小学</w:t>
            </w:r>
          </w:p>
        </w:tc>
        <w:tc>
          <w:tcPr>
            <w:tcW w:w="351"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250"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420"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00"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65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收入</w:t>
            </w:r>
          </w:p>
        </w:tc>
        <w:tc>
          <w:tcPr>
            <w:tcW w:w="3347"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18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45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一般公共预算财政拨款</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政府性基金预算财政拨款</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1,515.13</w:t>
            </w: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29.21</w:t>
            </w: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w:t>
            </w: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1,177.16</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1,177.16</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135.86</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135.86</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64.90</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64.90</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27.71</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27.71</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137.21</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137.21</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1,544.34</w:t>
            </w: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1,544.34</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1,515.13</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29.21</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一般公共预算财政拨款</w:t>
            </w: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政府性基金预算财政拨款</w:t>
            </w: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国有资本经营预算财政拨款</w:t>
            </w: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1,544.34</w:t>
            </w:r>
          </w:p>
        </w:tc>
        <w:tc>
          <w:tcPr>
            <w:tcW w:w="10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1,544.34</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1,515.13</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29.21</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注：本表反映部门（单位）本年度一般公共预算财政拨款、政府性基金预算财政拨款和国有资本经营预算财政拨款的总收支和年末结转结余情况。</w:t>
            </w:r>
          </w:p>
        </w:tc>
      </w:tr>
    </w:tbl>
    <w:p>
      <w:pPr>
        <w:bidi w:val="0"/>
        <w:rPr>
          <w:rFonts w:hint="eastAsia"/>
          <w:color w:val="auto"/>
          <w:lang w:val="en-US" w:eastAsia="zh-CN"/>
        </w:rPr>
      </w:pPr>
    </w:p>
    <w:tbl>
      <w:tblPr>
        <w:tblStyle w:val="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96"/>
        <w:gridCol w:w="231"/>
        <w:gridCol w:w="273"/>
        <w:gridCol w:w="1877"/>
        <w:gridCol w:w="569"/>
        <w:gridCol w:w="776"/>
        <w:gridCol w:w="651"/>
        <w:gridCol w:w="737"/>
        <w:gridCol w:w="737"/>
        <w:gridCol w:w="659"/>
        <w:gridCol w:w="737"/>
        <w:gridCol w:w="752"/>
        <w:gridCol w:w="794"/>
        <w:gridCol w:w="606"/>
        <w:gridCol w:w="864"/>
        <w:gridCol w:w="881"/>
        <w:gridCol w:w="1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236"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附件1-5</w:t>
            </w:r>
          </w:p>
        </w:tc>
        <w:tc>
          <w:tcPr>
            <w:tcW w:w="75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5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5000" w:type="pct"/>
            <w:gridSpan w:val="1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8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0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5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2"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43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部门(单位)：墨脱县德兴乡小学</w:t>
            </w:r>
          </w:p>
        </w:tc>
        <w:tc>
          <w:tcPr>
            <w:tcW w:w="599"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32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5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2"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7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84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89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31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70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8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1,515.13</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1,279.05</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236.09</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1,515.13</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1,279.05</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236.09</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1,177.16</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941.08</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236.09</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1,177.16</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941.08</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236.09</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1,177.16</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941.08</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236.09</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1,177.16</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941.08</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236.09</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2050201</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w:t>
            </w: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42.19</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11.85</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30.34</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42.19</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11.85</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30.34</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小学教育</w:t>
            </w: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1,134.97</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929.23</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205.74</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1,134.97</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929.23</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205.74</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135.86</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135.86</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135.86</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135.86</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135.86</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135.86</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135.86</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135.86</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135.86</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135.86</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135.86</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135.86</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64.90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64.90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64.90</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64.90</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64.90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64.90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64.90</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64.90</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64.90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64.90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64.90</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64.90</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137.21</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137.21</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137.21</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137.21</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137.21</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137.21</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137.21</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137.21</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89.62</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89.62</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89.62</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89.62</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47.59</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47.59</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47.59</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47.59</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7"/>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注：本表反映部门（单位）本年度一般公共预算财政拨款收入支出情况。</w:t>
            </w:r>
          </w:p>
        </w:tc>
      </w:tr>
    </w:tbl>
    <w:p>
      <w:pPr>
        <w:shd w:val="clear"/>
        <w:bidi w:val="0"/>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4"/>
        <w:gridCol w:w="2430"/>
        <w:gridCol w:w="339"/>
        <w:gridCol w:w="805"/>
        <w:gridCol w:w="619"/>
        <w:gridCol w:w="2030"/>
        <w:gridCol w:w="351"/>
        <w:gridCol w:w="683"/>
        <w:gridCol w:w="639"/>
        <w:gridCol w:w="2430"/>
        <w:gridCol w:w="322"/>
        <w:gridCol w:w="1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06"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附件1-6</w:t>
            </w:r>
          </w:p>
        </w:tc>
        <w:tc>
          <w:tcPr>
            <w:tcW w:w="92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一般公共预算财政拨款基本支出决算公开表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30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2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6"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109"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部门(单位)：墨脱县德兴乡小学</w:t>
            </w:r>
          </w:p>
        </w:tc>
        <w:tc>
          <w:tcPr>
            <w:tcW w:w="732"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2024年度</w:t>
            </w:r>
          </w:p>
        </w:tc>
        <w:tc>
          <w:tcPr>
            <w:tcW w:w="19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32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31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73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8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9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c>
          <w:tcPr>
            <w:tcW w:w="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7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73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8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3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8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9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1,220.58</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129.73</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3.82</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614.26</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0.14</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113.60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9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135.86</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64.90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0.36</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89.62</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4.97</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67.57</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6.09</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19.06</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7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39909</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30311</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代缴社会保险费</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0.16</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123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1,222.41</w:t>
            </w:r>
          </w:p>
        </w:tc>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注：本表反映部门（单位）本年度一般公共预算财政拨款基本支出明细情况。</w:t>
            </w:r>
          </w:p>
        </w:tc>
      </w:tr>
    </w:tbl>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51"/>
        <w:gridCol w:w="251"/>
        <w:gridCol w:w="251"/>
        <w:gridCol w:w="1115"/>
        <w:gridCol w:w="735"/>
        <w:gridCol w:w="810"/>
        <w:gridCol w:w="935"/>
        <w:gridCol w:w="670"/>
        <w:gridCol w:w="644"/>
        <w:gridCol w:w="803"/>
        <w:gridCol w:w="653"/>
        <w:gridCol w:w="661"/>
        <w:gridCol w:w="803"/>
        <w:gridCol w:w="711"/>
        <w:gridCol w:w="900"/>
        <w:gridCol w:w="885"/>
        <w:gridCol w:w="1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294"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附件1-7</w:t>
            </w:r>
          </w:p>
        </w:tc>
        <w:tc>
          <w:tcPr>
            <w:tcW w:w="43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5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5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3986" w:type="pct"/>
            <w:gridSpan w:val="1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政府性基金预算财政拨款收入支出决算公开表</w:t>
            </w:r>
          </w:p>
        </w:tc>
        <w:tc>
          <w:tcPr>
            <w:tcW w:w="34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9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9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3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8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1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6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6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5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1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5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5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1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5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4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67"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7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部门(单位)：墨脱县德兴乡小学</w:t>
            </w:r>
          </w:p>
        </w:tc>
        <w:tc>
          <w:tcPr>
            <w:tcW w:w="513"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3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5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3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35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34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667"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9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436"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969"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827"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827"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643" w:type="pct"/>
            <w:gridSpan w:val="4"/>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9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5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278"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1013" w:type="pct"/>
            <w:gridSpan w:val="2"/>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9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78"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4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98"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98"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98"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87" w:type="pct"/>
            <w:tcBorders>
              <w:top w:val="nil"/>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351" w:type="pct"/>
            <w:tcBorders>
              <w:top w:val="nil"/>
              <w:left w:val="nil"/>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346" w:type="pct"/>
            <w:tcBorders>
              <w:top w:val="nil"/>
              <w:left w:val="single" w:color="80808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667" w:type="pct"/>
            <w:tcBorders>
              <w:top w:val="nil"/>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98"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8"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8"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36"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29.21</w:t>
            </w:r>
          </w:p>
        </w:tc>
        <w:tc>
          <w:tcPr>
            <w:tcW w:w="2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29.21</w:t>
            </w:r>
          </w:p>
        </w:tc>
        <w:tc>
          <w:tcPr>
            <w:tcW w:w="25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29.21</w:t>
            </w:r>
          </w:p>
        </w:tc>
        <w:tc>
          <w:tcPr>
            <w:tcW w:w="25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29.21</w:t>
            </w:r>
          </w:p>
        </w:tc>
        <w:tc>
          <w:tcPr>
            <w:tcW w:w="27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城乡社区支出</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27.71</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27.71</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27.71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27.71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21208</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国有土地使用权出让收入安排的支出</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6.86</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6.86</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6.86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6.86</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2120806</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土地出让业务支出</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6.86</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6.86</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6.86</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21210</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国有土地收益基金安排的支出</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20.85</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20.85</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20.85</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2121099</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其他国有土地收益基金支出</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20.85</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20.85</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20.85</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22960</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彩票公益金安排的支出</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9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2296004</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用于教育事业的彩票公益金支出</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7"/>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注：本表反映部门（单位）本年度政府性基金预算财政拨款收入支出情况。</w:t>
            </w:r>
          </w:p>
        </w:tc>
      </w:tr>
    </w:tbl>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sectPr>
          <w:pgSz w:w="16838" w:h="11906" w:orient="landscape"/>
          <w:pgMar w:top="1587" w:right="2098" w:bottom="1474" w:left="1984" w:header="851" w:footer="992" w:gutter="0"/>
          <w:cols w:space="0" w:num="1"/>
          <w:rtlGutter w:val="0"/>
          <w:docGrid w:type="lines" w:linePitch="315" w:charSpace="0"/>
        </w:sectPr>
      </w:pP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85"/>
        <w:gridCol w:w="302"/>
        <w:gridCol w:w="258"/>
        <w:gridCol w:w="2464"/>
        <w:gridCol w:w="1102"/>
        <w:gridCol w:w="1168"/>
        <w:gridCol w:w="1217"/>
        <w:gridCol w:w="1166"/>
        <w:gridCol w:w="1232"/>
        <w:gridCol w:w="1140"/>
        <w:gridCol w:w="1102"/>
        <w:gridCol w:w="1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331"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附件1-8</w:t>
            </w:r>
          </w:p>
        </w:tc>
        <w:tc>
          <w:tcPr>
            <w:tcW w:w="96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5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7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5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8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4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2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国有资本经营预算财政拨款收入支出决算公开表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1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0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96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3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5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7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5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4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3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2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183" w:type="pct"/>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部门(单位)：墨脱县德兴乡小学</w:t>
            </w:r>
          </w:p>
        </w:tc>
        <w:tc>
          <w:tcPr>
            <w:tcW w:w="93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48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44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4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2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31" w:type="pct"/>
            <w:gridSpan w:val="3"/>
            <w:vMerge w:val="restart"/>
            <w:tcBorders>
              <w:top w:val="single" w:color="000000" w:sz="4" w:space="0"/>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964"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363"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402" w:type="pct"/>
            <w:gridSpan w:val="3"/>
            <w:tcBorders>
              <w:top w:val="single" w:color="000000" w:sz="4" w:space="0"/>
              <w:left w:val="nil"/>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31" w:type="pct"/>
            <w:gridSpan w:val="3"/>
            <w:vMerge w:val="continue"/>
            <w:tcBorders>
              <w:top w:val="single" w:color="000000" w:sz="4" w:space="0"/>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64"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结转</w:t>
            </w:r>
          </w:p>
        </w:tc>
        <w:tc>
          <w:tcPr>
            <w:tcW w:w="476"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结余</w:t>
            </w: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4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结转</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1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11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00" w:type="pct"/>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0"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5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5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注：本表反映部门（单位）本年度国有资本经营预算财政拨款收入支出情况。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本年度未产生与该表相关的预决算数据</w:t>
            </w:r>
          </w:p>
        </w:tc>
      </w:tr>
    </w:tbl>
    <w:p>
      <w:pPr>
        <w:spacing w:line="578" w:lineRule="exact"/>
        <w:rPr>
          <w:rFonts w:hint="eastAsia" w:ascii="黑体" w:hAnsi="黑体" w:eastAsia="黑体" w:cs="黑体"/>
          <w:color w:val="auto"/>
          <w:sz w:val="32"/>
          <w:szCs w:val="32"/>
        </w:rPr>
      </w:pPr>
    </w:p>
    <w:p>
      <w:pPr>
        <w:spacing w:line="578" w:lineRule="exact"/>
        <w:rPr>
          <w:rFonts w:hint="eastAsia" w:ascii="黑体" w:hAnsi="黑体" w:eastAsia="黑体" w:cs="黑体"/>
          <w:color w:val="auto"/>
          <w:sz w:val="32"/>
          <w:szCs w:val="32"/>
        </w:rPr>
      </w:pPr>
    </w:p>
    <w:p>
      <w:pPr>
        <w:spacing w:line="578" w:lineRule="exact"/>
        <w:rPr>
          <w:rFonts w:hint="eastAsia" w:ascii="黑体" w:hAnsi="黑体" w:eastAsia="黑体" w:cs="黑体"/>
          <w:color w:val="auto"/>
          <w:sz w:val="32"/>
          <w:szCs w:val="32"/>
        </w:rPr>
      </w:pPr>
    </w:p>
    <w:p>
      <w:pPr>
        <w:spacing w:line="578" w:lineRule="exact"/>
        <w:rPr>
          <w:rFonts w:hint="eastAsia" w:ascii="黑体" w:hAnsi="黑体" w:eastAsia="黑体" w:cs="黑体"/>
          <w:color w:val="auto"/>
          <w:sz w:val="32"/>
          <w:szCs w:val="32"/>
        </w:rPr>
      </w:pPr>
    </w:p>
    <w:p>
      <w:pPr>
        <w:spacing w:line="578" w:lineRule="exact"/>
        <w:rPr>
          <w:rFonts w:hint="eastAsia" w:ascii="黑体" w:hAnsi="黑体" w:eastAsia="黑体" w:cs="黑体"/>
          <w:color w:val="auto"/>
          <w:sz w:val="32"/>
          <w:szCs w:val="32"/>
        </w:rPr>
      </w:pPr>
    </w:p>
    <w:p>
      <w:pPr>
        <w:spacing w:line="578" w:lineRule="exact"/>
        <w:rPr>
          <w:rFonts w:hint="eastAsia" w:ascii="黑体" w:hAnsi="黑体" w:eastAsia="黑体" w:cs="黑体"/>
          <w:color w:val="auto"/>
          <w:sz w:val="32"/>
          <w:szCs w:val="32"/>
        </w:rPr>
      </w:pPr>
    </w:p>
    <w:tbl>
      <w:tblPr>
        <w:tblStyle w:val="9"/>
        <w:tblW w:w="511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1"/>
        <w:gridCol w:w="1527"/>
        <w:gridCol w:w="709"/>
        <w:gridCol w:w="1341"/>
        <w:gridCol w:w="858"/>
        <w:gridCol w:w="970"/>
        <w:gridCol w:w="403"/>
        <w:gridCol w:w="1529"/>
        <w:gridCol w:w="403"/>
        <w:gridCol w:w="1341"/>
        <w:gridCol w:w="1718"/>
        <w:gridCol w:w="1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8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附件1-9</w:t>
            </w:r>
          </w:p>
        </w:tc>
        <w:tc>
          <w:tcPr>
            <w:tcW w:w="58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7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2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6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5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8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5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5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8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财政拨款“三公”经费支出决算公开表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28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8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7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1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2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6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5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8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5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1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65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87"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47" w:type="pct"/>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部门(单位)：墨脱县德兴乡小学 </w:t>
            </w:r>
          </w:p>
        </w:tc>
        <w:tc>
          <w:tcPr>
            <w:tcW w:w="739"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15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65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87"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47" w:type="pct"/>
            <w:gridSpan w:val="6"/>
            <w:tcBorders>
              <w:top w:val="single" w:color="000000" w:sz="4" w:space="0"/>
              <w:left w:val="single" w:color="80808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预算数</w:t>
            </w:r>
          </w:p>
        </w:tc>
        <w:tc>
          <w:tcPr>
            <w:tcW w:w="2652" w:type="pct"/>
            <w:gridSpan w:val="6"/>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84" w:type="pct"/>
            <w:vMerge w:val="restart"/>
            <w:tcBorders>
              <w:top w:val="single" w:color="000000" w:sz="4" w:space="0"/>
              <w:left w:val="nil"/>
              <w:bottom w:val="single" w:color="80808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因公出国（境）费</w:t>
            </w:r>
          </w:p>
        </w:tc>
        <w:tc>
          <w:tcPr>
            <w:tcW w:w="1112" w:type="pct"/>
            <w:gridSpan w:val="3"/>
            <w:tcBorders>
              <w:top w:val="nil"/>
              <w:left w:val="nil"/>
              <w:bottom w:val="nil"/>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公务用车购置及运行维护费</w:t>
            </w:r>
          </w:p>
        </w:tc>
        <w:tc>
          <w:tcPr>
            <w:tcW w:w="369" w:type="pct"/>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公务接待费</w:t>
            </w:r>
          </w:p>
        </w:tc>
        <w:tc>
          <w:tcPr>
            <w:tcW w:w="15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因公出国（境）费</w:t>
            </w:r>
          </w:p>
        </w:tc>
        <w:tc>
          <w:tcPr>
            <w:tcW w:w="1324"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公务用车购置及运行维护费</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84" w:type="pct"/>
            <w:vMerge w:val="continue"/>
            <w:tcBorders>
              <w:top w:val="single" w:color="000000" w:sz="4" w:space="0"/>
              <w:left w:val="nil"/>
              <w:bottom w:val="single" w:color="80808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公务用车购置费</w:t>
            </w:r>
          </w:p>
        </w:tc>
        <w:tc>
          <w:tcPr>
            <w:tcW w:w="32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公务用车运行维护费</w:t>
            </w:r>
          </w:p>
        </w:tc>
        <w:tc>
          <w:tcPr>
            <w:tcW w:w="369" w:type="pct"/>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51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公务用车购置费</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公务用车运行维护费</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80" w:type="pct"/>
            <w:tcBorders>
              <w:top w:val="nil"/>
              <w:left w:val="single" w:color="808080" w:sz="4" w:space="0"/>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4" w:type="pct"/>
            <w:tcBorders>
              <w:top w:val="single" w:color="000000" w:sz="4" w:space="0"/>
              <w:left w:val="single" w:color="000000" w:sz="4" w:space="0"/>
              <w:bottom w:val="single" w:color="80808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513" w:type="pct"/>
            <w:tcBorders>
              <w:top w:val="nil"/>
              <w:left w:val="nil"/>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3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154" w:type="pc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656"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5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8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6"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注：本表反映部门（单位）本年度财政拨款“三公”经费支出预决算情况。其中，预算数为“三公”经费全年预算数，反映按规定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本年度未产生与该表相关的预决算数据</w:t>
            </w:r>
          </w:p>
        </w:tc>
      </w:tr>
    </w:tbl>
    <w:p>
      <w:pPr>
        <w:spacing w:line="578" w:lineRule="exact"/>
        <w:rPr>
          <w:rFonts w:hint="eastAsia" w:ascii="黑体" w:hAnsi="黑体" w:eastAsia="黑体" w:cs="黑体"/>
          <w:color w:val="auto"/>
          <w:sz w:val="32"/>
          <w:szCs w:val="32"/>
        </w:rPr>
      </w:pPr>
    </w:p>
    <w:p>
      <w:pPr>
        <w:spacing w:line="578" w:lineRule="exact"/>
        <w:rPr>
          <w:rFonts w:hint="eastAsia" w:ascii="黑体" w:hAnsi="黑体" w:eastAsia="黑体" w:cs="黑体"/>
          <w:color w:val="auto"/>
          <w:sz w:val="32"/>
          <w:szCs w:val="32"/>
        </w:rPr>
      </w:pPr>
    </w:p>
    <w:p>
      <w:pPr>
        <w:spacing w:line="578" w:lineRule="exact"/>
        <w:rPr>
          <w:rFonts w:hint="eastAsia" w:ascii="黑体" w:hAnsi="黑体" w:eastAsia="黑体" w:cs="黑体"/>
          <w:color w:val="auto"/>
          <w:sz w:val="32"/>
          <w:szCs w:val="32"/>
        </w:rPr>
      </w:pPr>
    </w:p>
    <w:p>
      <w:pPr>
        <w:spacing w:line="578" w:lineRule="exact"/>
        <w:rPr>
          <w:rFonts w:hint="eastAsia" w:ascii="黑体" w:hAnsi="黑体" w:eastAsia="黑体" w:cs="黑体"/>
          <w:color w:val="auto"/>
          <w:sz w:val="32"/>
          <w:szCs w:val="32"/>
        </w:rPr>
      </w:pPr>
    </w:p>
    <w:p>
      <w:pPr>
        <w:spacing w:line="578" w:lineRule="exact"/>
        <w:rPr>
          <w:rFonts w:hint="eastAsia" w:ascii="黑体" w:hAnsi="黑体" w:eastAsia="黑体" w:cs="黑体"/>
          <w:color w:val="auto"/>
          <w:sz w:val="32"/>
          <w:szCs w:val="32"/>
        </w:rPr>
        <w:sectPr>
          <w:pgSz w:w="16838" w:h="11906" w:orient="landscape"/>
          <w:pgMar w:top="1587" w:right="2098" w:bottom="1474" w:left="1984" w:header="851" w:footer="992" w:gutter="0"/>
          <w:cols w:space="720" w:num="1"/>
          <w:docGrid w:type="lines" w:linePitch="312" w:charSpace="0"/>
        </w:sectPr>
      </w:pPr>
    </w:p>
    <w:bookmarkEnd w:id="31"/>
    <w:bookmarkEnd w:id="32"/>
    <w:bookmarkEnd w:id="33"/>
    <w:bookmarkEnd w:id="34"/>
    <w:bookmarkEnd w:id="35"/>
    <w:bookmarkEnd w:id="36"/>
    <w:p>
      <w:pPr>
        <w:spacing w:line="578" w:lineRule="exact"/>
        <w:jc w:val="center"/>
        <w:rPr>
          <w:rFonts w:hint="eastAsia" w:ascii="黑体" w:hAnsi="ˎ̥" w:eastAsia="黑体"/>
          <w:color w:val="auto"/>
          <w:sz w:val="32"/>
          <w:szCs w:val="32"/>
        </w:rPr>
      </w:pPr>
      <w:bookmarkStart w:id="37" w:name="_Toc16686_WPSOffice_Level1"/>
      <w:bookmarkStart w:id="38" w:name="_Toc29683_WPSOffice_Level1"/>
      <w:bookmarkStart w:id="39" w:name="_Toc27590_WPSOffice_Level1"/>
      <w:bookmarkStart w:id="40" w:name="_Toc31264_WPSOffice_Level1"/>
      <w:bookmarkStart w:id="41" w:name="_Toc4402_WPSOffice_Level1"/>
      <w:bookmarkStart w:id="42" w:name="_Toc28629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37"/>
      <w:bookmarkEnd w:id="38"/>
      <w:bookmarkEnd w:id="39"/>
      <w:bookmarkEnd w:id="40"/>
      <w:bookmarkEnd w:id="41"/>
      <w:bookmarkEnd w:id="42"/>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eastAsia" w:ascii="仿宋_GB2312" w:hAnsi="ˎ̥" w:eastAsia="仿宋_GB2312"/>
          <w:color w:val="auto"/>
          <w:sz w:val="32"/>
          <w:szCs w:val="32"/>
          <w:lang w:val="en-US" w:eastAsia="zh-CN"/>
        </w:rPr>
        <w:t>1544.34</w:t>
      </w:r>
      <w:r>
        <w:rPr>
          <w:rFonts w:hint="eastAsia" w:ascii="仿宋_GB2312" w:hAnsi="ˎ̥" w:eastAsia="仿宋_GB2312"/>
          <w:color w:val="auto"/>
          <w:sz w:val="32"/>
          <w:szCs w:val="32"/>
        </w:rPr>
        <w:t>万元，支出总计</w:t>
      </w:r>
      <w:r>
        <w:rPr>
          <w:rFonts w:hint="eastAsia" w:ascii="仿宋_GB2312" w:hAnsi="ˎ̥" w:eastAsia="仿宋_GB2312"/>
          <w:color w:val="auto"/>
          <w:sz w:val="32"/>
          <w:szCs w:val="32"/>
          <w:lang w:val="en-US" w:eastAsia="zh-CN"/>
        </w:rPr>
        <w:t>1544.34</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w:t>
      </w:r>
      <w:r>
        <w:rPr>
          <w:rFonts w:hint="eastAsia" w:ascii="仿宋_GB2312" w:hAnsi="ˎ̥" w:eastAsia="仿宋_GB2312"/>
          <w:color w:val="auto"/>
          <w:sz w:val="32"/>
          <w:szCs w:val="32"/>
          <w:lang w:val="en-US" w:eastAsia="zh-CN"/>
        </w:rPr>
        <w:t>减少368.4</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减少19.26</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项目支出减少。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eastAsia" w:ascii="仿宋_GB2312" w:hAnsi="ˎ̥" w:eastAsia="仿宋_GB2312"/>
          <w:color w:val="auto"/>
          <w:sz w:val="32"/>
          <w:szCs w:val="32"/>
          <w:lang w:val="en-US" w:eastAsia="zh-CN"/>
        </w:rPr>
        <w:t>1544.34</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万元，年初结转结余</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1544.34</w:t>
      </w:r>
      <w:r>
        <w:rPr>
          <w:rFonts w:hint="eastAsia" w:ascii="仿宋_GB2312" w:hAnsi="ˎ̥" w:eastAsia="仿宋_GB2312"/>
          <w:color w:val="auto"/>
          <w:sz w:val="32"/>
          <w:szCs w:val="32"/>
        </w:rPr>
        <w:t>万元。其中：基本支出</w:t>
      </w:r>
      <w:r>
        <w:rPr>
          <w:rFonts w:hint="eastAsia" w:ascii="仿宋_GB2312" w:hAnsi="ˎ̥" w:eastAsia="仿宋_GB2312"/>
          <w:color w:val="auto"/>
          <w:sz w:val="32"/>
          <w:szCs w:val="32"/>
          <w:lang w:val="en-US" w:eastAsia="zh-CN"/>
        </w:rPr>
        <w:t>1279.05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82.82</w:t>
      </w:r>
      <w:r>
        <w:rPr>
          <w:rFonts w:hint="eastAsia" w:ascii="仿宋_GB2312" w:hAnsi="ˎ̥" w:eastAsia="仿宋_GB2312"/>
          <w:color w:val="auto"/>
          <w:sz w:val="32"/>
          <w:szCs w:val="32"/>
        </w:rPr>
        <w:t>%；项目支出</w:t>
      </w:r>
      <w:r>
        <w:rPr>
          <w:rFonts w:hint="eastAsia" w:ascii="仿宋_GB2312" w:hAnsi="ˎ̥" w:eastAsia="仿宋_GB2312"/>
          <w:color w:val="auto"/>
          <w:sz w:val="32"/>
          <w:szCs w:val="32"/>
          <w:lang w:val="en-US" w:eastAsia="zh-CN"/>
        </w:rPr>
        <w:t>265.29</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占17.18</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eastAsia" w:ascii="仿宋_GB2312" w:hAnsi="ˎ̥" w:eastAsia="仿宋_GB2312"/>
          <w:color w:val="auto"/>
          <w:sz w:val="32"/>
          <w:szCs w:val="32"/>
          <w:lang w:val="en-US" w:eastAsia="zh-CN"/>
        </w:rPr>
        <w:t>1544.34</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全部为</w:t>
      </w:r>
      <w:r>
        <w:rPr>
          <w:rFonts w:hint="eastAsia" w:ascii="仿宋_GB2312" w:hAnsi="ˎ̥" w:eastAsia="仿宋_GB2312"/>
          <w:color w:val="auto"/>
          <w:sz w:val="32"/>
          <w:szCs w:val="32"/>
        </w:rPr>
        <w:t>财政拨款收入</w:t>
      </w:r>
      <w:r>
        <w:rPr>
          <w:rFonts w:hint="eastAsia" w:ascii="仿宋_GB2312" w:hAnsi="ˎ̥" w:eastAsia="仿宋_GB2312"/>
          <w:color w:val="auto"/>
          <w:sz w:val="32"/>
          <w:szCs w:val="32"/>
          <w:lang w:val="en-US" w:eastAsia="zh-CN"/>
        </w:rPr>
        <w:t>1544.34</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1544.34</w:t>
      </w:r>
      <w:r>
        <w:rPr>
          <w:rFonts w:hint="eastAsia" w:ascii="仿宋_GB2312" w:hAnsi="ˎ̥" w:eastAsia="仿宋_GB2312"/>
          <w:color w:val="auto"/>
          <w:sz w:val="32"/>
          <w:szCs w:val="32"/>
        </w:rPr>
        <w:t>万元。其中：基本支出</w:t>
      </w:r>
      <w:r>
        <w:rPr>
          <w:rFonts w:hint="eastAsia" w:ascii="仿宋_GB2312" w:hAnsi="ˎ̥" w:eastAsia="仿宋_GB2312"/>
          <w:color w:val="auto"/>
          <w:sz w:val="32"/>
          <w:szCs w:val="32"/>
          <w:lang w:val="en-US" w:eastAsia="zh-CN"/>
        </w:rPr>
        <w:t>1279.05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82.82</w:t>
      </w:r>
      <w:r>
        <w:rPr>
          <w:rFonts w:hint="eastAsia" w:ascii="仿宋_GB2312" w:hAnsi="ˎ̥" w:eastAsia="仿宋_GB2312"/>
          <w:color w:val="auto"/>
          <w:sz w:val="32"/>
          <w:szCs w:val="32"/>
        </w:rPr>
        <w:t>%；项目支出</w:t>
      </w:r>
      <w:r>
        <w:rPr>
          <w:rFonts w:hint="eastAsia" w:ascii="仿宋_GB2312" w:hAnsi="ˎ̥" w:eastAsia="仿宋_GB2312"/>
          <w:color w:val="auto"/>
          <w:sz w:val="32"/>
          <w:szCs w:val="32"/>
          <w:lang w:val="en-US" w:eastAsia="zh-CN"/>
        </w:rPr>
        <w:t>265.29</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占17.18</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eastAsia" w:ascii="仿宋_GB2312" w:hAnsi="ˎ̥" w:eastAsia="仿宋_GB2312"/>
          <w:color w:val="auto"/>
          <w:sz w:val="32"/>
          <w:szCs w:val="32"/>
          <w:lang w:val="en-US" w:eastAsia="zh-CN"/>
        </w:rPr>
        <w:t>1544.34</w:t>
      </w:r>
      <w:r>
        <w:rPr>
          <w:rFonts w:hint="eastAsia" w:ascii="仿宋_GB2312" w:hAnsi="ˎ̥" w:eastAsia="仿宋_GB2312"/>
          <w:color w:val="auto"/>
          <w:sz w:val="32"/>
          <w:szCs w:val="32"/>
        </w:rPr>
        <w:t>万元，支出</w:t>
      </w:r>
      <w:r>
        <w:rPr>
          <w:rFonts w:hint="eastAsia" w:ascii="仿宋_GB2312" w:hAnsi="ˎ̥" w:eastAsia="仿宋_GB2312"/>
          <w:color w:val="auto"/>
          <w:sz w:val="32"/>
          <w:szCs w:val="32"/>
          <w:lang w:val="en-US" w:eastAsia="zh-CN"/>
        </w:rPr>
        <w:t>1544.34</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w:t>
      </w:r>
      <w:r>
        <w:rPr>
          <w:rFonts w:hint="eastAsia" w:ascii="仿宋_GB2312" w:hAnsi="ˎ̥" w:eastAsia="仿宋_GB2312"/>
          <w:color w:val="auto"/>
          <w:sz w:val="32"/>
          <w:szCs w:val="32"/>
          <w:lang w:val="en-US" w:eastAsia="zh-CN"/>
        </w:rPr>
        <w:t>减少368.4</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减少19.26%</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减少368.4</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减少19.26</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43" w:name="_Toc19665_WPSOffice_Level2"/>
      <w:bookmarkStart w:id="44" w:name="_Toc13694_WPSOffice_Level2"/>
      <w:bookmarkStart w:id="45" w:name="_Toc9989_WPSOffice_Level2"/>
      <w:bookmarkStart w:id="46" w:name="_Toc17398_WPSOffice_Level2"/>
      <w:bookmarkStart w:id="47" w:name="_Toc21737_WPSOffice_Level2"/>
      <w:bookmarkStart w:id="48" w:name="_Toc23005_WPSOffice_Level2"/>
      <w:r>
        <w:rPr>
          <w:rFonts w:hint="eastAsia" w:ascii="楷体" w:hAnsi="楷体" w:eastAsia="楷体" w:cs="楷体"/>
          <w:color w:val="auto"/>
          <w:sz w:val="32"/>
          <w:szCs w:val="32"/>
        </w:rPr>
        <w:t>（一）一般公共预算财政拨款支出决算总体情况</w:t>
      </w:r>
      <w:bookmarkEnd w:id="43"/>
      <w:bookmarkEnd w:id="44"/>
      <w:bookmarkEnd w:id="45"/>
      <w:bookmarkEnd w:id="46"/>
      <w:bookmarkEnd w:id="47"/>
      <w:bookmarkEnd w:id="48"/>
    </w:p>
    <w:p>
      <w:pPr>
        <w:spacing w:line="578" w:lineRule="exact"/>
        <w:ind w:firstLine="640" w:firstLineChars="200"/>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1515.13</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98.11</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w:t>
      </w:r>
      <w:r>
        <w:rPr>
          <w:rFonts w:hint="eastAsia" w:ascii="仿宋_GB2312" w:hAnsi="ˎ̥" w:eastAsia="仿宋_GB2312"/>
          <w:color w:val="auto"/>
          <w:sz w:val="32"/>
          <w:szCs w:val="32"/>
          <w:lang w:val="en-US" w:eastAsia="zh-CN"/>
        </w:rPr>
        <w:t>减少396.11</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减少20.73</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项目支出</w:t>
      </w:r>
      <w:r>
        <w:rPr>
          <w:rFonts w:hint="eastAsia" w:ascii="仿宋_GB2312" w:hAnsi="ˎ̥" w:eastAsia="仿宋_GB2312"/>
          <w:color w:val="auto"/>
          <w:sz w:val="32"/>
          <w:szCs w:val="32"/>
          <w:lang w:val="en-US" w:eastAsia="zh-CN"/>
        </w:rPr>
        <w:t>减少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49" w:name="_Toc19535_WPSOffice_Level2"/>
      <w:bookmarkStart w:id="50" w:name="_Toc18793_WPSOffice_Level2"/>
      <w:bookmarkStart w:id="51" w:name="_Toc2711_WPSOffice_Level2"/>
      <w:bookmarkStart w:id="52" w:name="_Toc27767_WPSOffice_Level2"/>
      <w:bookmarkStart w:id="53" w:name="_Toc19075_WPSOffice_Level2"/>
      <w:bookmarkStart w:id="54" w:name="_Toc23864_WPSOffice_Level2"/>
      <w:r>
        <w:rPr>
          <w:rFonts w:hint="eastAsia" w:ascii="楷体" w:hAnsi="楷体" w:eastAsia="楷体" w:cs="楷体"/>
          <w:color w:val="auto"/>
          <w:sz w:val="32"/>
          <w:szCs w:val="32"/>
        </w:rPr>
        <w:t>（二）一般公共预算财政拨款支出决算结构情况</w:t>
      </w:r>
      <w:bookmarkEnd w:id="49"/>
      <w:bookmarkEnd w:id="50"/>
      <w:bookmarkEnd w:id="51"/>
      <w:bookmarkEnd w:id="52"/>
      <w:bookmarkEnd w:id="53"/>
      <w:bookmarkEnd w:id="54"/>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1515.13</w:t>
      </w:r>
      <w:r>
        <w:rPr>
          <w:rFonts w:hint="eastAsia" w:ascii="仿宋_GB2312" w:hAnsi="ˎ̥" w:eastAsia="仿宋_GB2312"/>
          <w:color w:val="auto"/>
          <w:sz w:val="32"/>
          <w:szCs w:val="32"/>
        </w:rPr>
        <w:t>万元，主要用于以下方面：</w:t>
      </w:r>
      <w:r>
        <w:rPr>
          <w:rFonts w:hint="eastAsia" w:ascii="仿宋_GB2312" w:hAnsi="仿宋_GB2312" w:eastAsia="仿宋_GB2312" w:cs="仿宋_GB2312"/>
          <w:b/>
          <w:sz w:val="32"/>
          <w:szCs w:val="32"/>
        </w:rPr>
        <w:t>教育（类）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1177.16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77.69</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社会保障和就业（类）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135.86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8.97</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卫生健康（类）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64.9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4.28</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住房保障（类）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137.21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9.06</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55" w:name="_Toc22318_WPSOffice_Level2"/>
      <w:bookmarkStart w:id="56" w:name="_Toc9502_WPSOffice_Level2"/>
      <w:bookmarkStart w:id="57" w:name="_Toc15415_WPSOffice_Level2"/>
      <w:bookmarkStart w:id="58" w:name="_Toc21701_WPSOffice_Level2"/>
      <w:bookmarkStart w:id="59" w:name="_Toc29364_WPSOffice_Level2"/>
      <w:bookmarkStart w:id="60" w:name="_Toc25136_WPSOffice_Level2"/>
      <w:r>
        <w:rPr>
          <w:rFonts w:hint="eastAsia" w:ascii="楷体" w:hAnsi="楷体" w:eastAsia="楷体" w:cs="楷体"/>
          <w:color w:val="auto"/>
          <w:sz w:val="32"/>
          <w:szCs w:val="32"/>
        </w:rPr>
        <w:t>（三）一般公共预算财政拨款支出决算具体情况</w:t>
      </w:r>
      <w:bookmarkEnd w:id="55"/>
      <w:bookmarkEnd w:id="56"/>
      <w:bookmarkEnd w:id="57"/>
      <w:bookmarkEnd w:id="58"/>
      <w:bookmarkEnd w:id="59"/>
      <w:bookmarkEnd w:id="6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1389.5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1515.13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109.04</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主要是项目支出增加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eastAsia="zh-CN"/>
        </w:rPr>
        <w:t>1279.05</w:t>
      </w:r>
      <w:r>
        <w:rPr>
          <w:rFonts w:hint="eastAsia" w:ascii="仿宋_GB2312" w:hAnsi="ˎ̥" w:eastAsia="仿宋_GB2312"/>
          <w:color w:val="auto"/>
          <w:sz w:val="32"/>
          <w:szCs w:val="32"/>
        </w:rPr>
        <w:t>万元，其中：人员经费</w:t>
      </w:r>
      <w:r>
        <w:rPr>
          <w:rFonts w:hint="eastAsia" w:ascii="仿宋_GB2312" w:hAnsi="ˎ̥" w:eastAsia="仿宋_GB2312"/>
          <w:color w:val="auto"/>
          <w:sz w:val="32"/>
          <w:szCs w:val="32"/>
          <w:lang w:val="en-US" w:eastAsia="zh-CN"/>
        </w:rPr>
        <w:t>1222.41</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ˎ̥" w:eastAsia="仿宋_GB2312"/>
          <w:color w:val="auto"/>
          <w:sz w:val="32"/>
          <w:szCs w:val="32"/>
          <w:lang w:val="en-US" w:eastAsia="zh-CN"/>
        </w:rPr>
        <w:t>56.63</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spacing w:line="57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年度政府性基金预算财政</w:t>
      </w:r>
      <w:r>
        <w:rPr>
          <w:rFonts w:hint="eastAsia" w:ascii="仿宋_GB2312" w:hAnsi="ˎ̥" w:eastAsia="仿宋_GB2312"/>
          <w:color w:val="auto"/>
          <w:sz w:val="32"/>
          <w:szCs w:val="32"/>
        </w:rPr>
        <w:t>拨款支出</w:t>
      </w:r>
      <w:r>
        <w:rPr>
          <w:rFonts w:hint="eastAsia" w:ascii="仿宋_GB2312" w:hAnsi="ˎ̥" w:eastAsia="仿宋_GB2312"/>
          <w:color w:val="auto"/>
          <w:sz w:val="32"/>
          <w:szCs w:val="32"/>
          <w:lang w:val="en-US" w:eastAsia="zh-CN"/>
        </w:rPr>
        <w:t>29.21</w:t>
      </w:r>
      <w:r>
        <w:rPr>
          <w:rFonts w:hint="eastAsia" w:ascii="仿宋_GB2312" w:hAnsi="ˎ̥" w:eastAsia="仿宋_GB2312"/>
          <w:color w:val="auto"/>
          <w:sz w:val="32"/>
          <w:szCs w:val="32"/>
        </w:rPr>
        <w:t>万元</w:t>
      </w:r>
      <w:r>
        <w:rPr>
          <w:rFonts w:hint="eastAsia" w:ascii="仿宋_GB2312" w:hAnsi="ˎ̥" w:eastAsia="仿宋_GB2312"/>
          <w:sz w:val="32"/>
          <w:szCs w:val="32"/>
        </w:rPr>
        <w:t>，占本年支出合计的</w:t>
      </w:r>
      <w:r>
        <w:rPr>
          <w:rFonts w:hint="eastAsia" w:ascii="仿宋_GB2312" w:hAnsi="ˎ̥" w:eastAsia="仿宋_GB2312"/>
          <w:sz w:val="32"/>
          <w:szCs w:val="32"/>
          <w:lang w:val="en-US" w:eastAsia="zh-CN"/>
        </w:rPr>
        <w:t>1.89</w:t>
      </w:r>
      <w:r>
        <w:rPr>
          <w:rFonts w:hint="eastAsia" w:ascii="仿宋_GB2312" w:hAnsi="ˎ̥" w:eastAsia="仿宋_GB2312"/>
          <w:sz w:val="32"/>
          <w:szCs w:val="32"/>
        </w:rPr>
        <w:t>%。与202</w:t>
      </w:r>
      <w:r>
        <w:rPr>
          <w:rFonts w:hint="eastAsia" w:ascii="仿宋_GB2312" w:hAnsi="ˎ̥" w:eastAsia="仿宋_GB2312"/>
          <w:sz w:val="32"/>
          <w:szCs w:val="32"/>
          <w:lang w:val="en-US" w:eastAsia="zh-CN"/>
        </w:rPr>
        <w:t>3</w:t>
      </w:r>
      <w:r>
        <w:rPr>
          <w:rFonts w:hint="eastAsia" w:ascii="仿宋_GB2312" w:hAnsi="ˎ̥" w:eastAsia="仿宋_GB2312"/>
          <w:sz w:val="32"/>
          <w:szCs w:val="32"/>
        </w:rPr>
        <w:t>年度相比，政府性基金预算财政拨款支出</w:t>
      </w:r>
      <w:r>
        <w:rPr>
          <w:rFonts w:hint="eastAsia" w:ascii="仿宋_GB2312" w:hAnsi="ˎ̥" w:eastAsia="仿宋_GB2312"/>
          <w:sz w:val="32"/>
          <w:szCs w:val="32"/>
          <w:lang w:val="en-US" w:eastAsia="zh-CN"/>
        </w:rPr>
        <w:t>增加27.71</w:t>
      </w:r>
      <w:r>
        <w:rPr>
          <w:rFonts w:hint="eastAsia" w:ascii="仿宋_GB2312" w:hAnsi="ˎ̥" w:eastAsia="仿宋_GB2312"/>
          <w:sz w:val="32"/>
          <w:szCs w:val="32"/>
        </w:rPr>
        <w:t>万元，</w:t>
      </w:r>
      <w:r>
        <w:rPr>
          <w:rFonts w:hint="eastAsia" w:ascii="仿宋_GB2312" w:hAnsi="ˎ̥" w:eastAsia="仿宋_GB2312"/>
          <w:sz w:val="32"/>
          <w:szCs w:val="32"/>
          <w:lang w:val="en-US" w:eastAsia="zh-CN"/>
        </w:rPr>
        <w:t>增加1847.33</w:t>
      </w:r>
      <w:r>
        <w:rPr>
          <w:rFonts w:hint="eastAsia" w:ascii="仿宋_GB2312" w:hAnsi="ˎ̥" w:eastAsia="仿宋_GB2312"/>
          <w:sz w:val="32"/>
          <w:szCs w:val="32"/>
        </w:rPr>
        <w:t>%，主要原因是</w:t>
      </w:r>
      <w:r>
        <w:rPr>
          <w:rFonts w:hint="eastAsia" w:ascii="仿宋_GB2312" w:hAnsi="ˎ̥" w:eastAsia="仿宋_GB2312"/>
          <w:sz w:val="32"/>
          <w:szCs w:val="32"/>
          <w:lang w:val="en-US" w:eastAsia="zh-CN"/>
        </w:rPr>
        <w:t>项目支出增加</w:t>
      </w:r>
      <w:r>
        <w:rPr>
          <w:rFonts w:hint="eastAsia" w:ascii="仿宋_GB2312" w:hAnsi="ˎ̥" w:eastAsia="仿宋_GB2312"/>
          <w:sz w:val="32"/>
          <w:szCs w:val="32"/>
        </w:rPr>
        <w:t>。</w:t>
      </w:r>
    </w:p>
    <w:p>
      <w:pPr>
        <w:spacing w:line="57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年度政府性基金预算财政拨</w:t>
      </w:r>
      <w:r>
        <w:rPr>
          <w:rFonts w:hint="eastAsia" w:ascii="仿宋_GB2312" w:hAnsi="ˎ̥" w:eastAsia="仿宋_GB2312"/>
          <w:color w:val="auto"/>
          <w:sz w:val="32"/>
          <w:szCs w:val="32"/>
        </w:rPr>
        <w:t>款支出</w:t>
      </w:r>
      <w:r>
        <w:rPr>
          <w:rFonts w:hint="eastAsia" w:ascii="仿宋_GB2312" w:hAnsi="ˎ̥" w:eastAsia="仿宋_GB2312"/>
          <w:color w:val="auto"/>
          <w:sz w:val="32"/>
          <w:szCs w:val="32"/>
          <w:lang w:val="en-US" w:eastAsia="zh-CN"/>
        </w:rPr>
        <w:t>29.21</w:t>
      </w:r>
      <w:r>
        <w:rPr>
          <w:rFonts w:hint="eastAsia" w:ascii="仿宋_GB2312" w:hAnsi="ˎ̥" w:eastAsia="仿宋_GB2312"/>
          <w:color w:val="auto"/>
          <w:sz w:val="32"/>
          <w:szCs w:val="32"/>
        </w:rPr>
        <w:t>万元，主要用于以下方面：</w:t>
      </w:r>
      <w:r>
        <w:rPr>
          <w:rFonts w:hint="eastAsia" w:ascii="仿宋_GB2312" w:hAnsi="ˎ̥" w:eastAsia="仿宋_GB2312"/>
          <w:color w:val="auto"/>
          <w:sz w:val="32"/>
          <w:szCs w:val="32"/>
          <w:lang w:val="en-US" w:eastAsia="zh-CN"/>
        </w:rPr>
        <w:t>其他</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29.21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spacing w:line="57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（三）政府性基金预算财政拨款支出决算具体情况。</w:t>
      </w: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年度政府性基金预算财政拨款支出年初预算</w:t>
      </w:r>
      <w:r>
        <w:rPr>
          <w:rFonts w:hint="eastAsia" w:ascii="仿宋_GB2312" w:hAnsi="ˎ̥" w:eastAsia="仿宋_GB2312"/>
          <w:color w:val="auto"/>
          <w:sz w:val="32"/>
          <w:szCs w:val="32"/>
        </w:rPr>
        <w:t>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29.21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仿宋_GB2312" w:hAnsi="ˎ̥" w:eastAsia="仿宋_GB2312"/>
          <w:color w:val="auto"/>
          <w:sz w:val="32"/>
          <w:szCs w:val="32"/>
          <w:lang w:val="en-US" w:eastAsia="zh-CN"/>
        </w:rPr>
        <w:t>我单位无国有资本经营预算。</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我单位无财政拨款“三公”经费支出。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spacing w:line="578" w:lineRule="exact"/>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rPr>
        <w:t>根据预算管理要求，我部门（单位）组织对</w:t>
      </w: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度一般公共预算项目支出全面开展绩效自评。项目</w:t>
      </w:r>
      <w:r>
        <w:rPr>
          <w:rFonts w:hint="eastAsia" w:ascii="仿宋_GB2312" w:hAnsi="ˎ̥" w:eastAsia="仿宋_GB2312"/>
          <w:color w:val="auto"/>
          <w:sz w:val="32"/>
          <w:szCs w:val="32"/>
          <w:lang w:val="en-US" w:eastAsia="zh-CN"/>
        </w:rPr>
        <w:t>18</w:t>
      </w:r>
      <w:r>
        <w:rPr>
          <w:rFonts w:hint="eastAsia" w:ascii="仿宋_GB2312" w:hAnsi="ˎ̥" w:eastAsia="仿宋_GB2312"/>
          <w:color w:val="auto"/>
          <w:sz w:val="32"/>
          <w:szCs w:val="32"/>
        </w:rPr>
        <w:t>个，共涉及资金</w:t>
      </w:r>
      <w:r>
        <w:rPr>
          <w:rFonts w:hint="eastAsia" w:ascii="仿宋_GB2312" w:hAnsi="ˎ̥" w:eastAsia="仿宋_GB2312"/>
          <w:color w:val="auto"/>
          <w:sz w:val="32"/>
          <w:szCs w:val="32"/>
          <w:lang w:val="en-US" w:eastAsia="zh-CN"/>
        </w:rPr>
        <w:t>236.09</w:t>
      </w:r>
      <w:r>
        <w:rPr>
          <w:rFonts w:hint="eastAsia" w:ascii="仿宋_GB2312" w:hAnsi="ˎ̥" w:eastAsia="仿宋_GB2312"/>
          <w:color w:val="auto"/>
          <w:sz w:val="32"/>
          <w:szCs w:val="32"/>
        </w:rPr>
        <w:t>万元，占一般公共预算项目支出总额的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从评价情况来看，项目立项程序规范完整，绩效目标设置合理，与实际需求相符，项目业务管理制度健全，质量管控措施有效，各项业务工作有效开展，项目财务管理制度完善，资金使用规范有效，项目预期的绩效目标完成率高，均达到了预期效果，完成质量达到标准要求，时效性强，效益显著。</w:t>
      </w:r>
    </w:p>
    <w:p>
      <w:pPr>
        <w:spacing w:line="578" w:lineRule="exact"/>
        <w:rPr>
          <w:rFonts w:hint="eastAsia" w:ascii="仿宋_GB2312" w:hAnsi="ˎ̥" w:eastAsia="仿宋_GB2312"/>
          <w:color w:val="auto"/>
          <w:sz w:val="32"/>
          <w:szCs w:val="32"/>
          <w:lang w:val="en-US" w:eastAsia="zh-CN"/>
        </w:rPr>
        <w:sectPr>
          <w:pgSz w:w="11906" w:h="16838"/>
          <w:pgMar w:top="2098" w:right="1474" w:bottom="1984" w:left="1587" w:header="851" w:footer="992" w:gutter="0"/>
          <w:cols w:space="720" w:num="1"/>
          <w:docGrid w:type="lines" w:linePitch="312" w:charSpace="0"/>
        </w:sect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91"/>
        <w:gridCol w:w="1092"/>
        <w:gridCol w:w="1660"/>
        <w:gridCol w:w="1005"/>
        <w:gridCol w:w="1092"/>
        <w:gridCol w:w="931"/>
        <w:gridCol w:w="1031"/>
        <w:gridCol w:w="892"/>
        <w:gridCol w:w="1033"/>
        <w:gridCol w:w="844"/>
        <w:gridCol w:w="844"/>
        <w:gridCol w:w="1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b/>
                <w:i w:val="0"/>
                <w:color w:val="000000"/>
                <w:sz w:val="40"/>
                <w:szCs w:val="40"/>
                <w:u w:val="none"/>
              </w:rPr>
            </w:pPr>
            <w:r>
              <w:rPr>
                <w:rFonts w:hint="eastAsia" w:ascii="等线" w:hAnsi="等线" w:eastAsia="等线" w:cs="等线"/>
                <w:b/>
                <w:i w:val="0"/>
                <w:color w:val="000000"/>
                <w:kern w:val="0"/>
                <w:sz w:val="40"/>
                <w:szCs w:val="40"/>
                <w:u w:val="none"/>
                <w:lang w:val="en-US" w:eastAsia="zh-CN" w:bidi="ar"/>
              </w:rPr>
              <w:t xml:space="preserve">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项目名称:</w:t>
            </w:r>
          </w:p>
        </w:tc>
        <w:tc>
          <w:tcPr>
            <w:tcW w:w="146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54042324T000001863891-墨脱县德兴乡小学宿舍门窗等安全提示工程</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填报人:</w:t>
            </w:r>
          </w:p>
        </w:tc>
        <w:tc>
          <w:tcPr>
            <w:tcW w:w="11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次仁尼玛</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联系方式:</w:t>
            </w: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主管部门:</w:t>
            </w:r>
          </w:p>
        </w:tc>
        <w:tc>
          <w:tcPr>
            <w:tcW w:w="146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105-墨脱县教育局</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实施单位:</w:t>
            </w:r>
          </w:p>
        </w:tc>
        <w:tc>
          <w:tcPr>
            <w:tcW w:w="267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105017-墨脱县德兴乡小学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资金构成(元)</w:t>
            </w:r>
          </w:p>
        </w:tc>
        <w:tc>
          <w:tcPr>
            <w:tcW w:w="649" w:type="pc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年初预算数</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全年预算数</w:t>
            </w:r>
          </w:p>
        </w:tc>
        <w:tc>
          <w:tcPr>
            <w:tcW w:w="152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执行数</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分值</w:t>
            </w:r>
          </w:p>
        </w:tc>
        <w:tc>
          <w:tcPr>
            <w:tcW w:w="330"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执行率（%）</w:t>
            </w:r>
          </w:p>
        </w:tc>
        <w:tc>
          <w:tcPr>
            <w:tcW w:w="4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资金总额：</w:t>
            </w: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228,258.70</w:t>
            </w:r>
          </w:p>
        </w:tc>
        <w:tc>
          <w:tcPr>
            <w:tcW w:w="152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211,096.11</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 xml:space="preserve">10.00 </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92.48</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其中：财政资金：</w:t>
            </w: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228,258.70</w:t>
            </w:r>
          </w:p>
        </w:tc>
        <w:tc>
          <w:tcPr>
            <w:tcW w:w="152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211,096.11</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92.48</w:t>
            </w:r>
          </w:p>
        </w:tc>
        <w:tc>
          <w:tcPr>
            <w:tcW w:w="4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单位资金：</w:t>
            </w: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1520" w:type="pct"/>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w:t>
            </w:r>
          </w:p>
        </w:tc>
        <w:tc>
          <w:tcPr>
            <w:tcW w:w="4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财政专户管理资金：</w:t>
            </w: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152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w:t>
            </w:r>
          </w:p>
        </w:tc>
        <w:tc>
          <w:tcPr>
            <w:tcW w:w="4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232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年度目标</w:t>
            </w:r>
          </w:p>
        </w:tc>
        <w:tc>
          <w:tcPr>
            <w:tcW w:w="267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58" w:hRule="atLeast"/>
        </w:trPr>
        <w:tc>
          <w:tcPr>
            <w:tcW w:w="232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教育基础设施建设意义重大，它可以提供更好的学习环境、提高教育质量、提供更安全的学习环境，是学校和学生的重要保障。在进行教育基础设施建设时，要注重规划设计、施工质量和管理维护，确保基础设施建设的可持续发展，为我县优质教育均衡发展奠定基础。</w:t>
            </w:r>
          </w:p>
        </w:tc>
        <w:tc>
          <w:tcPr>
            <w:tcW w:w="267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学生宿舍门窗进行更换和维修，安全得到保障，住宿环境有了一定的改善。给学生提供了更安全的住宿和学习环境。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3"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一级指标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二级指标</w:t>
            </w:r>
          </w:p>
        </w:tc>
        <w:tc>
          <w:tcPr>
            <w:tcW w:w="104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三级指标</w:t>
            </w:r>
          </w:p>
        </w:tc>
        <w:tc>
          <w:tcPr>
            <w:tcW w:w="42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指标性质</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年度指标值</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度量单位</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实际完成值</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完成率</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分值</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得分</w:t>
            </w:r>
          </w:p>
        </w:tc>
        <w:tc>
          <w:tcPr>
            <w:tcW w:w="4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数量指标</w:t>
            </w:r>
          </w:p>
        </w:tc>
        <w:tc>
          <w:tcPr>
            <w:tcW w:w="104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新安装吊顶亚克力板面积</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149.64</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平方米</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149.64</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数量指标</w:t>
            </w:r>
          </w:p>
        </w:tc>
        <w:tc>
          <w:tcPr>
            <w:tcW w:w="104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新安装防盗门面积</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28</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平方米</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28</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数量指标</w:t>
            </w:r>
          </w:p>
        </w:tc>
        <w:tc>
          <w:tcPr>
            <w:tcW w:w="104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新安装金属百叶窗面积</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129.87</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平方米</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129.87</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质量指标</w:t>
            </w:r>
          </w:p>
        </w:tc>
        <w:tc>
          <w:tcPr>
            <w:tcW w:w="104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验收合格率</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时效指标</w:t>
            </w:r>
          </w:p>
        </w:tc>
        <w:tc>
          <w:tcPr>
            <w:tcW w:w="104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项目开工及时性</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效益指标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社会效益指标</w:t>
            </w:r>
          </w:p>
        </w:tc>
        <w:tc>
          <w:tcPr>
            <w:tcW w:w="104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不断提升我县体育基础设施建设达标率</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98</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98</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效益指标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可持续影响指标</w:t>
            </w:r>
          </w:p>
        </w:tc>
        <w:tc>
          <w:tcPr>
            <w:tcW w:w="104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项目设计使用年限</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年</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满意度指标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服务对象满意度指标</w:t>
            </w:r>
          </w:p>
        </w:tc>
        <w:tc>
          <w:tcPr>
            <w:tcW w:w="104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师生满意度</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成本指标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经济成本指标</w:t>
            </w:r>
          </w:p>
        </w:tc>
        <w:tc>
          <w:tcPr>
            <w:tcW w:w="104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项目工程费用</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228258.7</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元</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228258.7</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成本指标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社会成本指标</w:t>
            </w:r>
          </w:p>
        </w:tc>
        <w:tc>
          <w:tcPr>
            <w:tcW w:w="104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受益学生人</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182</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人</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182</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3843"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合计</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99.25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bl>
    <w:p>
      <w:pPr>
        <w:spacing w:line="578" w:lineRule="exact"/>
        <w:rPr>
          <w:rFonts w:hint="eastAsia" w:ascii="仿宋_GB2312" w:hAnsi="ˎ̥" w:eastAsia="仿宋_GB2312"/>
          <w:color w:val="auto"/>
          <w:sz w:val="32"/>
          <w:szCs w:val="32"/>
          <w:lang w:val="en-US" w:eastAsia="zh-CN"/>
        </w:rPr>
        <w:sectPr>
          <w:pgSz w:w="16838" w:h="11906" w:orient="landscape"/>
          <w:pgMar w:top="1587" w:right="2098" w:bottom="1474" w:left="1984"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spacing w:line="578" w:lineRule="exact"/>
        <w:ind w:firstLine="640" w:firstLineChars="200"/>
        <w:outlineLvl w:val="1"/>
        <w:rPr>
          <w:rFonts w:hint="eastAsia" w:ascii="楷体" w:hAnsi="楷体" w:eastAsia="楷体" w:cs="楷体"/>
          <w:bCs/>
          <w:color w:val="auto"/>
          <w:sz w:val="32"/>
          <w:szCs w:val="32"/>
        </w:rPr>
      </w:pPr>
      <w:bookmarkStart w:id="61" w:name="_Toc23598_WPSOffice_Level2"/>
      <w:bookmarkStart w:id="62" w:name="_Toc15262_WPSOffice_Level2"/>
      <w:bookmarkStart w:id="63" w:name="_Toc32639_WPSOffice_Level2"/>
      <w:bookmarkStart w:id="64" w:name="_Toc5978_WPSOffice_Level2"/>
      <w:bookmarkStart w:id="65" w:name="_Toc18325_WPSOffice_Level2"/>
      <w:bookmarkStart w:id="66" w:name="_Toc15565_WPSOffice_Level2"/>
      <w:bookmarkStart w:id="67" w:name="_Toc27924"/>
      <w:bookmarkStart w:id="68" w:name="_Toc11039_WPSOffice_Level1"/>
      <w:bookmarkStart w:id="69" w:name="_Toc15425_WPSOffice_Level1"/>
      <w:bookmarkStart w:id="70" w:name="_Toc17580_WPSOffice_Level1"/>
      <w:bookmarkStart w:id="71" w:name="_Toc8874_WPSOffice_Level1"/>
      <w:bookmarkStart w:id="72" w:name="_Toc4398_WPSOffice_Level1"/>
      <w:bookmarkStart w:id="73" w:name="_Toc8808_WPSOffice_Level1"/>
      <w:r>
        <w:rPr>
          <w:rFonts w:hint="eastAsia" w:ascii="楷体" w:hAnsi="楷体" w:eastAsia="楷体" w:cs="楷体"/>
          <w:bCs/>
          <w:color w:val="auto"/>
          <w:sz w:val="32"/>
          <w:szCs w:val="32"/>
        </w:rPr>
        <w:t>（一）机关运行经费支出情况。</w:t>
      </w:r>
      <w:bookmarkEnd w:id="61"/>
      <w:bookmarkEnd w:id="62"/>
      <w:bookmarkEnd w:id="63"/>
      <w:bookmarkEnd w:id="64"/>
      <w:bookmarkEnd w:id="65"/>
      <w:bookmarkEnd w:id="66"/>
      <w:bookmarkEnd w:id="67"/>
      <w:bookmarkStart w:id="74" w:name="_Toc26632"/>
      <w:bookmarkStart w:id="75" w:name="_Toc13084_WPSOffice_Level2"/>
      <w:bookmarkStart w:id="76" w:name="_Toc23966_WPSOffice_Level2"/>
      <w:bookmarkStart w:id="77" w:name="_Toc32689_WPSOffice_Level2"/>
      <w:bookmarkStart w:id="78" w:name="_Toc3131_WPSOffice_Level2"/>
      <w:bookmarkStart w:id="79" w:name="_Toc30383_WPSOffice_Level2"/>
      <w:bookmarkStart w:id="80" w:name="_Toc25333_WPSOffice_Level2"/>
    </w:p>
    <w:p>
      <w:pPr>
        <w:spacing w:line="578" w:lineRule="exact"/>
        <w:ind w:firstLine="640" w:firstLineChars="200"/>
        <w:outlineLvl w:val="1"/>
        <w:rPr>
          <w:rFonts w:hint="default" w:ascii="仿宋_GB2312" w:hAnsi="ˎ̥" w:eastAsia="仿宋_GB2312"/>
          <w:color w:val="auto"/>
          <w:sz w:val="32"/>
          <w:szCs w:val="32"/>
          <w:lang w:val="en-US" w:eastAsia="zh-CN"/>
        </w:rPr>
      </w:pPr>
      <w:bookmarkStart w:id="88" w:name="_GoBack"/>
      <w:bookmarkEnd w:id="88"/>
      <w:r>
        <w:rPr>
          <w:rFonts w:hint="eastAsia" w:ascii="仿宋_GB2312" w:hAnsi="ˎ̥" w:eastAsia="仿宋_GB2312"/>
          <w:color w:val="auto"/>
          <w:sz w:val="32"/>
          <w:szCs w:val="32"/>
          <w:lang w:val="en-US" w:eastAsia="zh-CN"/>
        </w:rPr>
        <w:t>2024年度我部门无</w:t>
      </w:r>
      <w:r>
        <w:rPr>
          <w:rFonts w:hint="eastAsia" w:ascii="仿宋_GB2312" w:hAnsi="ˎ̥" w:eastAsia="仿宋_GB2312"/>
          <w:color w:val="auto"/>
          <w:sz w:val="32"/>
          <w:szCs w:val="32"/>
          <w:lang w:eastAsia="zh-CN"/>
        </w:rPr>
        <w:t>机关运行经费支出。</w:t>
      </w:r>
    </w:p>
    <w:p>
      <w:pPr>
        <w:spacing w:line="578" w:lineRule="exact"/>
        <w:ind w:firstLine="640" w:firstLineChars="200"/>
        <w:outlineLvl w:val="1"/>
        <w:rPr>
          <w:rFonts w:hint="eastAsia" w:ascii="楷体" w:hAnsi="楷体" w:eastAsia="楷体" w:cs="楷体"/>
          <w:bCs/>
          <w:color w:val="auto"/>
          <w:sz w:val="32"/>
          <w:szCs w:val="32"/>
        </w:rPr>
      </w:pPr>
      <w:r>
        <w:rPr>
          <w:rFonts w:hint="eastAsia" w:ascii="楷体" w:hAnsi="楷体" w:eastAsia="楷体" w:cs="楷体"/>
          <w:bCs/>
          <w:color w:val="auto"/>
          <w:sz w:val="32"/>
          <w:szCs w:val="32"/>
        </w:rPr>
        <w:t>（二）政府采购支出情况。</w:t>
      </w:r>
      <w:bookmarkEnd w:id="74"/>
      <w:bookmarkEnd w:id="75"/>
      <w:bookmarkEnd w:id="76"/>
      <w:bookmarkEnd w:id="77"/>
      <w:bookmarkEnd w:id="78"/>
      <w:bookmarkEnd w:id="79"/>
      <w:bookmarkEnd w:id="80"/>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w:t>
      </w:r>
      <w:r>
        <w:rPr>
          <w:rFonts w:hint="eastAsia" w:ascii="仿宋_GB2312" w:hAnsi="ˎ̥" w:eastAsia="仿宋_GB2312"/>
          <w:color w:val="auto"/>
          <w:sz w:val="32"/>
          <w:szCs w:val="32"/>
          <w:lang w:val="en-US" w:eastAsia="zh-CN"/>
        </w:rPr>
        <w:t>我部门无</w:t>
      </w:r>
      <w:r>
        <w:rPr>
          <w:rFonts w:hint="eastAsia" w:ascii="仿宋_GB2312" w:hAnsi="ˎ̥" w:eastAsia="仿宋_GB2312"/>
          <w:color w:val="auto"/>
          <w:sz w:val="32"/>
          <w:szCs w:val="32"/>
        </w:rPr>
        <w:t>政府采购支出。</w:t>
      </w:r>
    </w:p>
    <w:p>
      <w:pPr>
        <w:spacing w:line="578" w:lineRule="exact"/>
        <w:ind w:firstLine="640" w:firstLineChars="200"/>
        <w:outlineLvl w:val="1"/>
        <w:rPr>
          <w:rFonts w:hint="eastAsia" w:ascii="楷体" w:hAnsi="楷体" w:eastAsia="楷体" w:cs="楷体"/>
          <w:bCs/>
          <w:color w:val="auto"/>
          <w:sz w:val="32"/>
          <w:szCs w:val="32"/>
        </w:rPr>
      </w:pPr>
      <w:bookmarkStart w:id="81" w:name="_Toc15129_WPSOffice_Level2"/>
      <w:bookmarkStart w:id="82" w:name="_Toc19989_WPSOffice_Level2"/>
      <w:bookmarkStart w:id="83" w:name="_Toc527_WPSOffice_Level2"/>
      <w:bookmarkStart w:id="84" w:name="_Toc29584_WPSOffice_Level2"/>
      <w:bookmarkStart w:id="85" w:name="_Toc6016_WPSOffice_Level2"/>
      <w:bookmarkStart w:id="86" w:name="_Toc23489"/>
      <w:bookmarkStart w:id="87" w:name="_Toc10902_WPSOffice_Level2"/>
      <w:r>
        <w:rPr>
          <w:rFonts w:hint="eastAsia" w:ascii="楷体" w:hAnsi="楷体" w:eastAsia="楷体" w:cs="楷体"/>
          <w:bCs/>
          <w:color w:val="auto"/>
          <w:sz w:val="32"/>
          <w:szCs w:val="32"/>
        </w:rPr>
        <w:t>（三）国有资产占用情况。</w:t>
      </w:r>
      <w:bookmarkEnd w:id="81"/>
      <w:bookmarkEnd w:id="82"/>
      <w:bookmarkEnd w:id="83"/>
      <w:bookmarkEnd w:id="84"/>
      <w:bookmarkEnd w:id="85"/>
      <w:bookmarkEnd w:id="86"/>
      <w:bookmarkEnd w:id="87"/>
    </w:p>
    <w:p>
      <w:pPr>
        <w:spacing w:line="578" w:lineRule="exact"/>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w:t>
      </w:r>
      <w:r>
        <w:rPr>
          <w:rFonts w:hint="eastAsia" w:ascii="仿宋_GB2312" w:hAnsi="ˎ̥" w:eastAsia="仿宋_GB2312"/>
          <w:color w:val="auto"/>
          <w:sz w:val="32"/>
          <w:szCs w:val="32"/>
          <w:lang w:val="en-US" w:eastAsia="zh-CN"/>
        </w:rPr>
        <w:t>我部门</w:t>
      </w:r>
      <w:r>
        <w:rPr>
          <w:rFonts w:hint="eastAsia" w:ascii="仿宋_GB2312" w:hAnsi="ˎ̥" w:eastAsia="仿宋_GB2312"/>
          <w:color w:val="auto"/>
          <w:sz w:val="32"/>
          <w:szCs w:val="32"/>
          <w:lang w:eastAsia="zh-CN"/>
        </w:rPr>
        <w:t>国有资产占用情况。</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68"/>
      <w:bookmarkEnd w:id="69"/>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7D188"/>
    <w:multiLevelType w:val="singleLevel"/>
    <w:tmpl w:val="99C7D188"/>
    <w:lvl w:ilvl="0" w:tentative="0">
      <w:start w:val="2"/>
      <w:numFmt w:val="chineseCounting"/>
      <w:suff w:val="space"/>
      <w:lvlText w:val="第%1部分"/>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false"/>
  <w:bordersDoNotSurroundFooter w:val="false"/>
  <w:documentProtection w:enforcement="0"/>
  <w:defaultTabStop w:val="420"/>
  <w:hyphenationZone w:val="36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00172A27"/>
    <w:rsid w:val="00064A91"/>
    <w:rsid w:val="000718C4"/>
    <w:rsid w:val="000779B0"/>
    <w:rsid w:val="000C11D5"/>
    <w:rsid w:val="0012534A"/>
    <w:rsid w:val="001E4E23"/>
    <w:rsid w:val="001E510D"/>
    <w:rsid w:val="001F28C1"/>
    <w:rsid w:val="001F4EC0"/>
    <w:rsid w:val="00213789"/>
    <w:rsid w:val="002A6E07"/>
    <w:rsid w:val="0034456B"/>
    <w:rsid w:val="003C6369"/>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40CE3"/>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1922A7"/>
    <w:rsid w:val="014C50ED"/>
    <w:rsid w:val="01741A3C"/>
    <w:rsid w:val="01BD0674"/>
    <w:rsid w:val="01E44B90"/>
    <w:rsid w:val="01FC2149"/>
    <w:rsid w:val="02487F4D"/>
    <w:rsid w:val="029324ED"/>
    <w:rsid w:val="02BD31A7"/>
    <w:rsid w:val="03144883"/>
    <w:rsid w:val="03353CA7"/>
    <w:rsid w:val="03671B82"/>
    <w:rsid w:val="03CA5715"/>
    <w:rsid w:val="051C3BBF"/>
    <w:rsid w:val="05752CAA"/>
    <w:rsid w:val="05C80BB0"/>
    <w:rsid w:val="05E529DF"/>
    <w:rsid w:val="062214F8"/>
    <w:rsid w:val="065A192F"/>
    <w:rsid w:val="06800A63"/>
    <w:rsid w:val="07A6222D"/>
    <w:rsid w:val="07C86BA7"/>
    <w:rsid w:val="07CD4557"/>
    <w:rsid w:val="08CE3A2F"/>
    <w:rsid w:val="09087051"/>
    <w:rsid w:val="09160752"/>
    <w:rsid w:val="09201287"/>
    <w:rsid w:val="0AAD72F9"/>
    <w:rsid w:val="0AAE4D33"/>
    <w:rsid w:val="0AD7461C"/>
    <w:rsid w:val="0AE05360"/>
    <w:rsid w:val="0AE35A88"/>
    <w:rsid w:val="0B054D9F"/>
    <w:rsid w:val="0B2E6267"/>
    <w:rsid w:val="0B471084"/>
    <w:rsid w:val="0B8A576B"/>
    <w:rsid w:val="0BEB1F5D"/>
    <w:rsid w:val="0C034C8F"/>
    <w:rsid w:val="0C126CD9"/>
    <w:rsid w:val="0C2E41D9"/>
    <w:rsid w:val="0C7B2006"/>
    <w:rsid w:val="0C864CFC"/>
    <w:rsid w:val="0CA35E42"/>
    <w:rsid w:val="0D065DF0"/>
    <w:rsid w:val="0D882197"/>
    <w:rsid w:val="0DB667E1"/>
    <w:rsid w:val="0E184DC9"/>
    <w:rsid w:val="0E4B2FA6"/>
    <w:rsid w:val="0E851594"/>
    <w:rsid w:val="0E946EB4"/>
    <w:rsid w:val="0F065F2F"/>
    <w:rsid w:val="0F49256B"/>
    <w:rsid w:val="0FC80124"/>
    <w:rsid w:val="0FD151F6"/>
    <w:rsid w:val="0FD31911"/>
    <w:rsid w:val="0FF06EB0"/>
    <w:rsid w:val="101D286A"/>
    <w:rsid w:val="104C416C"/>
    <w:rsid w:val="107104E5"/>
    <w:rsid w:val="10AA7EE9"/>
    <w:rsid w:val="10B469FA"/>
    <w:rsid w:val="10CA3F8E"/>
    <w:rsid w:val="11132000"/>
    <w:rsid w:val="11693817"/>
    <w:rsid w:val="11AB626C"/>
    <w:rsid w:val="11B13D2E"/>
    <w:rsid w:val="121C3A7E"/>
    <w:rsid w:val="121C49D6"/>
    <w:rsid w:val="12613FB1"/>
    <w:rsid w:val="12A81505"/>
    <w:rsid w:val="12CB0405"/>
    <w:rsid w:val="13071936"/>
    <w:rsid w:val="131331C1"/>
    <w:rsid w:val="131503EF"/>
    <w:rsid w:val="132B690D"/>
    <w:rsid w:val="134336CC"/>
    <w:rsid w:val="136F98C7"/>
    <w:rsid w:val="13D62796"/>
    <w:rsid w:val="13DB5B34"/>
    <w:rsid w:val="140218C6"/>
    <w:rsid w:val="1494185A"/>
    <w:rsid w:val="14A709DB"/>
    <w:rsid w:val="14C23C26"/>
    <w:rsid w:val="14DD2775"/>
    <w:rsid w:val="14F17710"/>
    <w:rsid w:val="14FD7C13"/>
    <w:rsid w:val="154C47EC"/>
    <w:rsid w:val="15582F56"/>
    <w:rsid w:val="15CE3F87"/>
    <w:rsid w:val="15FC4608"/>
    <w:rsid w:val="16137016"/>
    <w:rsid w:val="162E0890"/>
    <w:rsid w:val="163A3ADA"/>
    <w:rsid w:val="1659747D"/>
    <w:rsid w:val="16742122"/>
    <w:rsid w:val="16946D1A"/>
    <w:rsid w:val="16AA6BDE"/>
    <w:rsid w:val="16BE7989"/>
    <w:rsid w:val="17427E68"/>
    <w:rsid w:val="1755065F"/>
    <w:rsid w:val="17560A1D"/>
    <w:rsid w:val="17967775"/>
    <w:rsid w:val="1832346D"/>
    <w:rsid w:val="186A722D"/>
    <w:rsid w:val="191F2D37"/>
    <w:rsid w:val="194C38F4"/>
    <w:rsid w:val="199514FC"/>
    <w:rsid w:val="19DD4C94"/>
    <w:rsid w:val="19E00108"/>
    <w:rsid w:val="19F76D88"/>
    <w:rsid w:val="1A2266E4"/>
    <w:rsid w:val="1A2649D5"/>
    <w:rsid w:val="1AFC29C9"/>
    <w:rsid w:val="1B251E30"/>
    <w:rsid w:val="1B2F6F9F"/>
    <w:rsid w:val="1B650AE6"/>
    <w:rsid w:val="1C323ABD"/>
    <w:rsid w:val="1C3A3D5E"/>
    <w:rsid w:val="1CA52F2E"/>
    <w:rsid w:val="1CF20597"/>
    <w:rsid w:val="1D253502"/>
    <w:rsid w:val="1D434B02"/>
    <w:rsid w:val="1D856681"/>
    <w:rsid w:val="1DE96D51"/>
    <w:rsid w:val="1DFE370B"/>
    <w:rsid w:val="1E2A15AE"/>
    <w:rsid w:val="1E3630B9"/>
    <w:rsid w:val="1E872024"/>
    <w:rsid w:val="1F0D4AC3"/>
    <w:rsid w:val="1F5758A1"/>
    <w:rsid w:val="1F852988"/>
    <w:rsid w:val="1F9B5B51"/>
    <w:rsid w:val="1FD008F3"/>
    <w:rsid w:val="1FFF6B02"/>
    <w:rsid w:val="204769DE"/>
    <w:rsid w:val="20584B21"/>
    <w:rsid w:val="20D504E9"/>
    <w:rsid w:val="20E30473"/>
    <w:rsid w:val="215A3256"/>
    <w:rsid w:val="21850FDE"/>
    <w:rsid w:val="228918E2"/>
    <w:rsid w:val="22A55F7B"/>
    <w:rsid w:val="22E5204E"/>
    <w:rsid w:val="22FE77F1"/>
    <w:rsid w:val="239C5E39"/>
    <w:rsid w:val="23A14BBA"/>
    <w:rsid w:val="23F93F53"/>
    <w:rsid w:val="240C319D"/>
    <w:rsid w:val="24530192"/>
    <w:rsid w:val="24752B52"/>
    <w:rsid w:val="24BE1914"/>
    <w:rsid w:val="24CE1297"/>
    <w:rsid w:val="24D6412C"/>
    <w:rsid w:val="24DF6036"/>
    <w:rsid w:val="25083F98"/>
    <w:rsid w:val="2541423A"/>
    <w:rsid w:val="265F26D7"/>
    <w:rsid w:val="26E60DB1"/>
    <w:rsid w:val="26EEC2B5"/>
    <w:rsid w:val="26FC44EE"/>
    <w:rsid w:val="26FC5B1D"/>
    <w:rsid w:val="27F759AC"/>
    <w:rsid w:val="2818523C"/>
    <w:rsid w:val="285E1DC9"/>
    <w:rsid w:val="287A3D96"/>
    <w:rsid w:val="29033822"/>
    <w:rsid w:val="29472309"/>
    <w:rsid w:val="29BB47EF"/>
    <w:rsid w:val="29DF3E16"/>
    <w:rsid w:val="2A2B000D"/>
    <w:rsid w:val="2A587431"/>
    <w:rsid w:val="2A916356"/>
    <w:rsid w:val="2AC16E4B"/>
    <w:rsid w:val="2ACF5380"/>
    <w:rsid w:val="2AE22BBA"/>
    <w:rsid w:val="2AEB76F1"/>
    <w:rsid w:val="2B406E77"/>
    <w:rsid w:val="2B5A335B"/>
    <w:rsid w:val="2B9E4D5E"/>
    <w:rsid w:val="2BA84A35"/>
    <w:rsid w:val="2BBE1D43"/>
    <w:rsid w:val="2BDD10DC"/>
    <w:rsid w:val="2BE96243"/>
    <w:rsid w:val="2BF74B2A"/>
    <w:rsid w:val="2C170512"/>
    <w:rsid w:val="2C1E3812"/>
    <w:rsid w:val="2C2921BD"/>
    <w:rsid w:val="2C2A0C43"/>
    <w:rsid w:val="2C76651F"/>
    <w:rsid w:val="2CA8737F"/>
    <w:rsid w:val="2CDC69CA"/>
    <w:rsid w:val="2D1621AB"/>
    <w:rsid w:val="2D1E73A5"/>
    <w:rsid w:val="2D470B23"/>
    <w:rsid w:val="2D8F5340"/>
    <w:rsid w:val="2E31536C"/>
    <w:rsid w:val="2E6565C2"/>
    <w:rsid w:val="2E9A0B35"/>
    <w:rsid w:val="2EAB5181"/>
    <w:rsid w:val="2ED135A7"/>
    <w:rsid w:val="2EDF0F08"/>
    <w:rsid w:val="2EEC389E"/>
    <w:rsid w:val="2F4120D1"/>
    <w:rsid w:val="2F5C08E5"/>
    <w:rsid w:val="3044310A"/>
    <w:rsid w:val="30807CA4"/>
    <w:rsid w:val="30F641E8"/>
    <w:rsid w:val="310419E1"/>
    <w:rsid w:val="317D7C5F"/>
    <w:rsid w:val="31D92244"/>
    <w:rsid w:val="3234519E"/>
    <w:rsid w:val="32390A7C"/>
    <w:rsid w:val="326C07E9"/>
    <w:rsid w:val="32717154"/>
    <w:rsid w:val="32CA1ADC"/>
    <w:rsid w:val="332351BA"/>
    <w:rsid w:val="332E4AAE"/>
    <w:rsid w:val="33D26081"/>
    <w:rsid w:val="3400743E"/>
    <w:rsid w:val="3427797A"/>
    <w:rsid w:val="34B63260"/>
    <w:rsid w:val="35516992"/>
    <w:rsid w:val="3573699D"/>
    <w:rsid w:val="35F46956"/>
    <w:rsid w:val="36281514"/>
    <w:rsid w:val="36B36EF9"/>
    <w:rsid w:val="36BC5BAE"/>
    <w:rsid w:val="36C362B5"/>
    <w:rsid w:val="36F937B6"/>
    <w:rsid w:val="377D73BE"/>
    <w:rsid w:val="37FDA7E2"/>
    <w:rsid w:val="38192195"/>
    <w:rsid w:val="384B2632"/>
    <w:rsid w:val="385A1373"/>
    <w:rsid w:val="385D21A0"/>
    <w:rsid w:val="38697ACF"/>
    <w:rsid w:val="38B91761"/>
    <w:rsid w:val="39A1696F"/>
    <w:rsid w:val="39DB681B"/>
    <w:rsid w:val="39DD4518"/>
    <w:rsid w:val="39EE78A8"/>
    <w:rsid w:val="3A314D88"/>
    <w:rsid w:val="3A656D10"/>
    <w:rsid w:val="3A746883"/>
    <w:rsid w:val="3A770CB9"/>
    <w:rsid w:val="3AA36088"/>
    <w:rsid w:val="3AD77AEE"/>
    <w:rsid w:val="3B3070F6"/>
    <w:rsid w:val="3B443201"/>
    <w:rsid w:val="3B5E3E17"/>
    <w:rsid w:val="3B76046C"/>
    <w:rsid w:val="3B7E6C33"/>
    <w:rsid w:val="3BA13919"/>
    <w:rsid w:val="3BB6462D"/>
    <w:rsid w:val="3BE92317"/>
    <w:rsid w:val="3BF04668"/>
    <w:rsid w:val="3BF36762"/>
    <w:rsid w:val="3C2D26D6"/>
    <w:rsid w:val="3CA15DE9"/>
    <w:rsid w:val="3D2F5C32"/>
    <w:rsid w:val="3D5F25B0"/>
    <w:rsid w:val="3D61147F"/>
    <w:rsid w:val="3D8B5E5F"/>
    <w:rsid w:val="3DC950E2"/>
    <w:rsid w:val="3DE17504"/>
    <w:rsid w:val="3E210B81"/>
    <w:rsid w:val="3EA20557"/>
    <w:rsid w:val="3EA82A4C"/>
    <w:rsid w:val="3EAC0549"/>
    <w:rsid w:val="3ED616A5"/>
    <w:rsid w:val="3F3E4515"/>
    <w:rsid w:val="3FAD196A"/>
    <w:rsid w:val="3FE61EE5"/>
    <w:rsid w:val="40010245"/>
    <w:rsid w:val="400A0257"/>
    <w:rsid w:val="406508EE"/>
    <w:rsid w:val="4068578D"/>
    <w:rsid w:val="408D6263"/>
    <w:rsid w:val="40B5786F"/>
    <w:rsid w:val="40E9393E"/>
    <w:rsid w:val="41086485"/>
    <w:rsid w:val="412B0DA3"/>
    <w:rsid w:val="415573C2"/>
    <w:rsid w:val="416627DB"/>
    <w:rsid w:val="41786157"/>
    <w:rsid w:val="41B40CEE"/>
    <w:rsid w:val="4299604D"/>
    <w:rsid w:val="431636FE"/>
    <w:rsid w:val="43732703"/>
    <w:rsid w:val="43BF4F41"/>
    <w:rsid w:val="43C663D5"/>
    <w:rsid w:val="43E077BD"/>
    <w:rsid w:val="43EF0F7A"/>
    <w:rsid w:val="43F22A80"/>
    <w:rsid w:val="44395162"/>
    <w:rsid w:val="44613685"/>
    <w:rsid w:val="446875D8"/>
    <w:rsid w:val="44864388"/>
    <w:rsid w:val="44E03403"/>
    <w:rsid w:val="45E9561A"/>
    <w:rsid w:val="45F52E3E"/>
    <w:rsid w:val="465D7AFE"/>
    <w:rsid w:val="467631A7"/>
    <w:rsid w:val="46900A5D"/>
    <w:rsid w:val="469E2CEC"/>
    <w:rsid w:val="46A1108D"/>
    <w:rsid w:val="46A447AE"/>
    <w:rsid w:val="46DA441E"/>
    <w:rsid w:val="46E53528"/>
    <w:rsid w:val="46E67E81"/>
    <w:rsid w:val="47566DB3"/>
    <w:rsid w:val="47691FCD"/>
    <w:rsid w:val="47BE62D6"/>
    <w:rsid w:val="48317291"/>
    <w:rsid w:val="48460EA5"/>
    <w:rsid w:val="485F7024"/>
    <w:rsid w:val="48712E23"/>
    <w:rsid w:val="487A687C"/>
    <w:rsid w:val="48D877F1"/>
    <w:rsid w:val="48E70666"/>
    <w:rsid w:val="493868DE"/>
    <w:rsid w:val="49716641"/>
    <w:rsid w:val="49766D0A"/>
    <w:rsid w:val="499910A3"/>
    <w:rsid w:val="49C173DC"/>
    <w:rsid w:val="49E25274"/>
    <w:rsid w:val="4A1C039D"/>
    <w:rsid w:val="4A3B039B"/>
    <w:rsid w:val="4A744D39"/>
    <w:rsid w:val="4B2125F4"/>
    <w:rsid w:val="4BEE4564"/>
    <w:rsid w:val="4BFC2CA0"/>
    <w:rsid w:val="4C0D473C"/>
    <w:rsid w:val="4C215BBF"/>
    <w:rsid w:val="4C6877E5"/>
    <w:rsid w:val="4CEB717D"/>
    <w:rsid w:val="4CF70F62"/>
    <w:rsid w:val="4D5F4F21"/>
    <w:rsid w:val="4D6A468D"/>
    <w:rsid w:val="4E307D23"/>
    <w:rsid w:val="4E3410BF"/>
    <w:rsid w:val="4E4E2DB0"/>
    <w:rsid w:val="4EA86137"/>
    <w:rsid w:val="4ED2574D"/>
    <w:rsid w:val="4F1973FE"/>
    <w:rsid w:val="4F706B7C"/>
    <w:rsid w:val="4F992A10"/>
    <w:rsid w:val="51016BC2"/>
    <w:rsid w:val="514315C5"/>
    <w:rsid w:val="514905BA"/>
    <w:rsid w:val="519D4FF3"/>
    <w:rsid w:val="51A05652"/>
    <w:rsid w:val="51C50160"/>
    <w:rsid w:val="51DA6CD8"/>
    <w:rsid w:val="51E21B4F"/>
    <w:rsid w:val="52057D25"/>
    <w:rsid w:val="521B504A"/>
    <w:rsid w:val="52301F99"/>
    <w:rsid w:val="528F178B"/>
    <w:rsid w:val="52B16063"/>
    <w:rsid w:val="531F2F47"/>
    <w:rsid w:val="534F05FD"/>
    <w:rsid w:val="53996C9C"/>
    <w:rsid w:val="53AE54CE"/>
    <w:rsid w:val="53B65C90"/>
    <w:rsid w:val="53DE4748"/>
    <w:rsid w:val="541D020F"/>
    <w:rsid w:val="542F1F2F"/>
    <w:rsid w:val="547477D2"/>
    <w:rsid w:val="54ED4BB7"/>
    <w:rsid w:val="554C40E7"/>
    <w:rsid w:val="55A87B8A"/>
    <w:rsid w:val="55E11F18"/>
    <w:rsid w:val="55E552CD"/>
    <w:rsid w:val="56037112"/>
    <w:rsid w:val="56104BF2"/>
    <w:rsid w:val="56225A8C"/>
    <w:rsid w:val="564C5AEC"/>
    <w:rsid w:val="566F6DC6"/>
    <w:rsid w:val="56A72206"/>
    <w:rsid w:val="56CA7FD0"/>
    <w:rsid w:val="56F7427C"/>
    <w:rsid w:val="572F507A"/>
    <w:rsid w:val="5745027B"/>
    <w:rsid w:val="57FA38D1"/>
    <w:rsid w:val="58471724"/>
    <w:rsid w:val="585A35FA"/>
    <w:rsid w:val="589622B8"/>
    <w:rsid w:val="59301824"/>
    <w:rsid w:val="59973FBC"/>
    <w:rsid w:val="5A0F2093"/>
    <w:rsid w:val="5A2B5EF5"/>
    <w:rsid w:val="5AF3495B"/>
    <w:rsid w:val="5AF90702"/>
    <w:rsid w:val="5B5165E9"/>
    <w:rsid w:val="5BCD39CD"/>
    <w:rsid w:val="5BDF23FE"/>
    <w:rsid w:val="5C1F59AF"/>
    <w:rsid w:val="5CE56A0F"/>
    <w:rsid w:val="5D111ED1"/>
    <w:rsid w:val="5D213B6E"/>
    <w:rsid w:val="5D760AF8"/>
    <w:rsid w:val="5D7B6AED"/>
    <w:rsid w:val="5DD8141A"/>
    <w:rsid w:val="5DF65B28"/>
    <w:rsid w:val="5E041752"/>
    <w:rsid w:val="5E7068EA"/>
    <w:rsid w:val="5E7900F6"/>
    <w:rsid w:val="5EA875AD"/>
    <w:rsid w:val="5EF75988"/>
    <w:rsid w:val="5EFA3F2F"/>
    <w:rsid w:val="5F2B6DD2"/>
    <w:rsid w:val="5F76315F"/>
    <w:rsid w:val="5F7D3333"/>
    <w:rsid w:val="5FF501F7"/>
    <w:rsid w:val="5FFD0625"/>
    <w:rsid w:val="609F7CCD"/>
    <w:rsid w:val="60C138E3"/>
    <w:rsid w:val="60CE4B9A"/>
    <w:rsid w:val="60F06516"/>
    <w:rsid w:val="611A363E"/>
    <w:rsid w:val="61385890"/>
    <w:rsid w:val="61E71BB1"/>
    <w:rsid w:val="626D0FD2"/>
    <w:rsid w:val="62F1225B"/>
    <w:rsid w:val="631B255D"/>
    <w:rsid w:val="63413B51"/>
    <w:rsid w:val="634F2F58"/>
    <w:rsid w:val="63A97597"/>
    <w:rsid w:val="63D82FED"/>
    <w:rsid w:val="64013CA9"/>
    <w:rsid w:val="64022588"/>
    <w:rsid w:val="6504510C"/>
    <w:rsid w:val="65314355"/>
    <w:rsid w:val="660B6D5A"/>
    <w:rsid w:val="66AD3BD4"/>
    <w:rsid w:val="67076AA5"/>
    <w:rsid w:val="671F7586"/>
    <w:rsid w:val="675B4F32"/>
    <w:rsid w:val="677333FD"/>
    <w:rsid w:val="679E28CC"/>
    <w:rsid w:val="67C45707"/>
    <w:rsid w:val="67DF459D"/>
    <w:rsid w:val="67E15CB8"/>
    <w:rsid w:val="681C4817"/>
    <w:rsid w:val="68362CE8"/>
    <w:rsid w:val="687436E1"/>
    <w:rsid w:val="68DF16C0"/>
    <w:rsid w:val="696A5E49"/>
    <w:rsid w:val="69BF75B1"/>
    <w:rsid w:val="69E60D7D"/>
    <w:rsid w:val="6A225AEB"/>
    <w:rsid w:val="6A521B7F"/>
    <w:rsid w:val="6B06459E"/>
    <w:rsid w:val="6B0A43D0"/>
    <w:rsid w:val="6B4C55F7"/>
    <w:rsid w:val="6B8020BC"/>
    <w:rsid w:val="6BB25D6B"/>
    <w:rsid w:val="6BEE02F1"/>
    <w:rsid w:val="6C703CE3"/>
    <w:rsid w:val="6CEB6FF1"/>
    <w:rsid w:val="6D0E0130"/>
    <w:rsid w:val="6D1600AB"/>
    <w:rsid w:val="6D674ADC"/>
    <w:rsid w:val="6D8640E0"/>
    <w:rsid w:val="6DA45C50"/>
    <w:rsid w:val="6DB75658"/>
    <w:rsid w:val="6DE04C7B"/>
    <w:rsid w:val="6E2B1741"/>
    <w:rsid w:val="6E5C3762"/>
    <w:rsid w:val="6E9A7825"/>
    <w:rsid w:val="6EB6550C"/>
    <w:rsid w:val="6EFF0CDC"/>
    <w:rsid w:val="6F5F2EC2"/>
    <w:rsid w:val="6F670F9B"/>
    <w:rsid w:val="6F836B9B"/>
    <w:rsid w:val="6FB206A4"/>
    <w:rsid w:val="6FC65FE7"/>
    <w:rsid w:val="6FD8633B"/>
    <w:rsid w:val="70043F21"/>
    <w:rsid w:val="70FF16CD"/>
    <w:rsid w:val="710A2DB6"/>
    <w:rsid w:val="71CA525E"/>
    <w:rsid w:val="71E11ACA"/>
    <w:rsid w:val="71FD1FBB"/>
    <w:rsid w:val="72055089"/>
    <w:rsid w:val="720E247B"/>
    <w:rsid w:val="722441D4"/>
    <w:rsid w:val="72937C49"/>
    <w:rsid w:val="729D4CD2"/>
    <w:rsid w:val="72A61621"/>
    <w:rsid w:val="73241F11"/>
    <w:rsid w:val="732E067F"/>
    <w:rsid w:val="737450E0"/>
    <w:rsid w:val="73C56094"/>
    <w:rsid w:val="73F01AAF"/>
    <w:rsid w:val="73FD6BFE"/>
    <w:rsid w:val="74054476"/>
    <w:rsid w:val="742F38C4"/>
    <w:rsid w:val="74436497"/>
    <w:rsid w:val="745C5B34"/>
    <w:rsid w:val="749D5963"/>
    <w:rsid w:val="74AB66DC"/>
    <w:rsid w:val="74C4154C"/>
    <w:rsid w:val="751A5F84"/>
    <w:rsid w:val="753044B5"/>
    <w:rsid w:val="755B06A7"/>
    <w:rsid w:val="756D528F"/>
    <w:rsid w:val="757F76BA"/>
    <w:rsid w:val="75841871"/>
    <w:rsid w:val="75847558"/>
    <w:rsid w:val="75937F0E"/>
    <w:rsid w:val="75956FFF"/>
    <w:rsid w:val="75A27CE1"/>
    <w:rsid w:val="75B173B4"/>
    <w:rsid w:val="75BE6B48"/>
    <w:rsid w:val="75EC58E3"/>
    <w:rsid w:val="761B0162"/>
    <w:rsid w:val="764E4CFF"/>
    <w:rsid w:val="76B82D78"/>
    <w:rsid w:val="76DD52D3"/>
    <w:rsid w:val="76EF68C0"/>
    <w:rsid w:val="76F42856"/>
    <w:rsid w:val="775728B8"/>
    <w:rsid w:val="776F00F4"/>
    <w:rsid w:val="777C60C6"/>
    <w:rsid w:val="77AA2D01"/>
    <w:rsid w:val="77B57DC4"/>
    <w:rsid w:val="77C440BD"/>
    <w:rsid w:val="781F4E85"/>
    <w:rsid w:val="78327529"/>
    <w:rsid w:val="78FE477C"/>
    <w:rsid w:val="79827885"/>
    <w:rsid w:val="79B40FC6"/>
    <w:rsid w:val="7A5E2FEC"/>
    <w:rsid w:val="7A8C6BB3"/>
    <w:rsid w:val="7AA830C2"/>
    <w:rsid w:val="7ACF2137"/>
    <w:rsid w:val="7AED1DBD"/>
    <w:rsid w:val="7B043560"/>
    <w:rsid w:val="7B222E8A"/>
    <w:rsid w:val="7B5F390F"/>
    <w:rsid w:val="7B947CF5"/>
    <w:rsid w:val="7BA57EF4"/>
    <w:rsid w:val="7BAE073C"/>
    <w:rsid w:val="7CDE1DBD"/>
    <w:rsid w:val="7CEF7BF1"/>
    <w:rsid w:val="7D186D30"/>
    <w:rsid w:val="7D83538D"/>
    <w:rsid w:val="7D8A5F25"/>
    <w:rsid w:val="7D943A85"/>
    <w:rsid w:val="7DB0448C"/>
    <w:rsid w:val="7DBD7462"/>
    <w:rsid w:val="7DD20489"/>
    <w:rsid w:val="7DEA7F0D"/>
    <w:rsid w:val="7E5F9AA4"/>
    <w:rsid w:val="7E906E20"/>
    <w:rsid w:val="7F28398E"/>
    <w:rsid w:val="7F835D03"/>
    <w:rsid w:val="7FBE2FE4"/>
    <w:rsid w:val="7FF73F06"/>
    <w:rsid w:val="8FFC8888"/>
    <w:rsid w:val="A7F73C99"/>
    <w:rsid w:val="BFFE3BF4"/>
    <w:rsid w:val="DFEBDA37"/>
    <w:rsid w:val="EF6FCA1D"/>
    <w:rsid w:val="EFFF57D6"/>
    <w:rsid w:val="F5FFF4B8"/>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ody Text"/>
    <w:qFormat/>
    <w:uiPriority w:val="0"/>
    <w:pPr>
      <w:spacing w:line="560" w:lineRule="exact"/>
      <w:ind w:firstLine="630" w:firstLineChars="200"/>
      <w:jc w:val="both"/>
    </w:pPr>
    <w:rPr>
      <w:rFonts w:ascii="仿宋_GB2312" w:hAnsi="仿宋_GB2312" w:eastAsia="仿宋_GB2312" w:cs="Times New Roman"/>
      <w:spacing w:val="-6"/>
      <w:sz w:val="32"/>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paragraph" w:styleId="8">
    <w:name w:val="annotation subject"/>
    <w:basedOn w:val="2"/>
    <w:next w:val="2"/>
    <w:link w:val="16"/>
    <w:qFormat/>
    <w:uiPriority w:val="0"/>
    <w:rPr>
      <w:b/>
      <w:bCs/>
    </w:r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批注文字 Char"/>
    <w:link w:val="2"/>
    <w:qFormat/>
    <w:uiPriority w:val="0"/>
    <w:rPr>
      <w:kern w:val="2"/>
      <w:sz w:val="21"/>
      <w:szCs w:val="24"/>
    </w:rPr>
  </w:style>
  <w:style w:type="character" w:customStyle="1" w:styleId="14">
    <w:name w:val="批注框文本 Char"/>
    <w:link w:val="4"/>
    <w:qFormat/>
    <w:uiPriority w:val="0"/>
    <w:rPr>
      <w:kern w:val="2"/>
      <w:sz w:val="18"/>
      <w:szCs w:val="18"/>
    </w:rPr>
  </w:style>
  <w:style w:type="character" w:customStyle="1" w:styleId="15">
    <w:name w:val="页眉 Char"/>
    <w:link w:val="6"/>
    <w:qFormat/>
    <w:uiPriority w:val="0"/>
    <w:rPr>
      <w:kern w:val="2"/>
      <w:sz w:val="18"/>
      <w:szCs w:val="18"/>
    </w:rPr>
  </w:style>
  <w:style w:type="character" w:customStyle="1" w:styleId="16">
    <w:name w:val="批注主题 Char"/>
    <w:link w:val="8"/>
    <w:qFormat/>
    <w:uiPriority w:val="0"/>
    <w:rPr>
      <w:b/>
      <w:bCs/>
      <w:kern w:val="2"/>
      <w:sz w:val="21"/>
      <w:szCs w:val="24"/>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WPSOffice手动目录 2"/>
    <w:qFormat/>
    <w:uiPriority w:val="0"/>
    <w:pPr>
      <w:ind w:leftChars="200"/>
    </w:pPr>
    <w:rPr>
      <w:rFonts w:ascii="Times New Roman" w:hAnsi="Times New Roman" w:eastAsia="宋体" w:cs="Times New Roman"/>
      <w:lang w:val="en-US" w:eastAsia="zh-CN" w:bidi="ar-SA"/>
    </w:rPr>
  </w:style>
  <w:style w:type="paragraph" w:customStyle="1" w:styleId="19">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7132</Words>
  <Characters>10463</Characters>
  <Lines>67</Lines>
  <Paragraphs>18</Paragraphs>
  <TotalTime>27</TotalTime>
  <ScaleCrop>false</ScaleCrop>
  <LinksUpToDate>false</LinksUpToDate>
  <CharactersWithSpaces>10549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2024-07-24T19:26:00Z</dcterms:created>
  <dc:creator>uos</dc:creator>
  <cp:lastModifiedBy>user</cp:lastModifiedBy>
  <cp:lastPrinted>2023-08-03T16:58:00Z</cp:lastPrinted>
  <dcterms:modified xsi:type="dcterms:W3CDTF">2025-11-06T11:44:52Z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62BEC4820EE04D218B436F3F82916A05_13</vt:lpwstr>
  </property>
  <property fmtid="{D5CDD505-2E9C-101B-9397-08002B2CF9AE}" pid="4" name="KSOTemplateDocerSaveRecord">
    <vt:lpwstr>eyJoZGlkIjoiY2VlZThlZDk5ZTQ4MTFjNGY3MjIxNTdiOWMzZmQwMWMiLCJ1c2VySWQiOiIyMzQ5MTc1OTYifQ==</vt:lpwstr>
  </property>
</Properties>
</file>