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墨脱县教育局机关2024年度部门决算</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22941_WPSOffice_Level1"/>
      <w:bookmarkStart w:id="4" w:name="_Toc23465_WPSOffice_Level1"/>
      <w:bookmarkStart w:id="5" w:name="_Toc10049_WPSOffice_Level1"/>
      <w:bookmarkStart w:id="6" w:name="_Toc32433_WPSOffice_Level1"/>
      <w:bookmarkStart w:id="7" w:name="_Toc10720_WPSOffice_Level1"/>
      <w:bookmarkStart w:id="8" w:name="_Toc24238_WPSOffice_Level2"/>
      <w:bookmarkStart w:id="9" w:name="_Toc32622_WPSOffice_Level2"/>
      <w:bookmarkStart w:id="10" w:name="_Toc20274_WPSOffice_Level2"/>
      <w:bookmarkStart w:id="11" w:name="_Toc20205_WPSOffice_Level2"/>
      <w:bookmarkStart w:id="12" w:name="_Toc14159_WPSOffice_Level2"/>
      <w:bookmarkStart w:id="13" w:name="_Toc26580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17796_WPSOffice_Level2"/>
      <w:bookmarkStart w:id="15" w:name="_Toc24474_WPSOffice_Level2"/>
      <w:bookmarkStart w:id="16" w:name="_Toc6572_WPSOffice_Level2"/>
      <w:bookmarkStart w:id="17" w:name="_Toc24059_WPSOffice_Level2"/>
      <w:bookmarkStart w:id="18" w:name="_Toc4833_WPSOffice_Level2"/>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1.贯彻执行国家、自治区和市关于教育体育工作的方针政策和法律法规，协助落实全市教育体育改革发展政策和规划。</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2.拟订墨脱县教育体育事业发展规划和中长期计划，并指导、协调和监督实施；负责县委、县政府关于教育工作的决定、指示的贯彻落实。</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3.指导全县各类学校的思想政治工作、德育工作、体育卫生与艺术教育工作及国防、法制教育工作，协调并指导各级各类学校的安全文明校园建设工作；指导系统党建工作和行风建设。</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4.推进教育公共服务均等化，统筹规划、协调、指导和推进教育体制、办学体制、教育教学综合改革，推进依法治教、依法治校。</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5.贯彻执行国家、自治区、市语言文字工作方针政策；负责国家通用语言文字教育和推广工作；指导各级各类学校“双语”教育工作。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6.推进义务教育均衡发展，负责义务教育的指导与协调，指导中小学教育、幼儿教育和特殊教育工作；贯彻基础教育教学基本要求，全面落实素质教育；负责教育基本信息统计、分析。</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7.承担职业教育统筹规划、综合协调和宏观管理，指导职业教育发展改革，推进现代职业教育体系建设；指导并推进社会力量办学。</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8.承担县人民政府教育督导工作，推进教育管、办、评分离，开展基础教育发展水平和质量监测，建立健全督政、督学体系；贯彻执行各级各类教育标准。</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9.负责管理本级财政教育体育经费和国有资产，负责全县教育体育经费统计；参与制定各级各类学校收费标准，监督教育经费决算执行和教育体育经费规范使用；负责教育体育内部审计。</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10.负责全县各级各类学校教师队伍建设，规划和指导教育系统人才队伍建设；负责实施教师资格制度，承担教师专业技术职务申报、评聘及培训工作。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11.协调管理各类学历教育的考试招生和学籍管理工作；协助做好师范类毕业生就业工作。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12.负责教育对外交流与合作，协助做好内地班（校）招生考录工作。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13.统筹、规划、管理各级各类教育课程、教材工作；统筹推进全县教育信息化建设工作；指导和推进教育科学研究工作。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14.负责全县中小学校电教设备与实验仪器采购</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监督管理工作，组织指导学校实验教学和电化教学的开展。</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15.负责推动多元化体育服务体系建设，规范体育服务管理，推进体育公共服务和体育体制改革。</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16.统筹规划群众体育和青少年体育发展，负责推行全民健身计划，指导和推进青少年体育工作。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17.实施国家、自治区、市体育锻炼标准，推动国民体质监测和社会体育指导工作队伍制度建设。</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18.负责对公共体育设施的监督管理；负责体育彩票发行管理和安全管理工作；开发体育产业市场。</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19.负责推动体育标准化建设、运动员队伍建设，培养选拔体育干部和专业人才；协调运动员社会保障工作。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20.开展体育交流与合作，负责体育宣传工作。</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负责教育体育系统的安全监督、检查、管理工作，指导各类学校制定突发事件应急预案和落实防范安全事故的措施；负责将安全生产宣传教育纳入“平安校园”创建活动，负责将安全知识纳入国民教育内容，建立完善中小学安全教育和高危行业职业教育体系，指导各类学校开展安全教育和高危行业职业教育体系，指导各类学校开展安全教育活动，普及安全知识，提高师生安全意识和应对突发事件的能力；承担墨脱县安全生产委员会成员单位有关教育体育系统的安全生产责任。</w:t>
      </w:r>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22.承办墨脱县政府交办的其他事项。</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仿宋_GB2312" w:eastAsia="仿宋_GB2312" w:cs="仿宋_GB2312"/>
          <w:color w:val="auto"/>
          <w:sz w:val="32"/>
          <w:szCs w:val="32"/>
        </w:rPr>
      </w:pPr>
      <w:bookmarkStart w:id="19" w:name="_Toc6234_WPSOffice_Level1"/>
      <w:bookmarkStart w:id="20" w:name="_Toc15521_WPSOffice_Level1"/>
      <w:bookmarkStart w:id="21" w:name="_Toc30451_WPSOffice_Level1"/>
      <w:bookmarkStart w:id="22" w:name="_Toc8164_WPSOffice_Level1"/>
      <w:bookmarkStart w:id="23" w:name="_Toc28253_WPSOffice_Level1"/>
      <w:bookmarkStart w:id="24" w:name="_Toc30690_WPSOffice_Level1"/>
      <w:bookmarkStart w:id="25" w:name="_Toc8867_WPSOffice_Level2"/>
      <w:bookmarkStart w:id="26" w:name="_Toc11518_WPSOffice_Level2"/>
      <w:bookmarkStart w:id="27" w:name="_Toc4029_WPSOffice_Level2"/>
      <w:bookmarkStart w:id="28" w:name="_Toc32695_WPSOffice_Level2"/>
      <w:bookmarkStart w:id="29" w:name="_Toc6211_WPSOffice_Level2"/>
      <w:bookmarkStart w:id="30" w:name="_Toc32472_WPSOffice_Level2"/>
      <w:r>
        <w:rPr>
          <w:rFonts w:hint="eastAsia" w:ascii="仿宋_GB2312" w:hAnsi="仿宋_GB2312" w:eastAsia="仿宋_GB2312" w:cs="仿宋_GB2312"/>
          <w:color w:val="auto"/>
          <w:sz w:val="32"/>
          <w:szCs w:val="32"/>
        </w:rPr>
        <w:t>墨脱县教育体育局设有教研室（电教馆）；青少年活动中心。</w:t>
      </w:r>
    </w:p>
    <w:p>
      <w:pPr>
        <w:spacing w:line="578" w:lineRule="exact"/>
        <w:jc w:val="center"/>
        <w:rPr>
          <w:rFonts w:hint="eastAsia" w:ascii="黑体" w:hAnsi="ˎ̥" w:eastAsia="黑体"/>
          <w:color w:val="auto"/>
          <w:sz w:val="32"/>
          <w:szCs w:val="32"/>
        </w:rPr>
      </w:pP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127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7"/>
        <w:gridCol w:w="897"/>
        <w:gridCol w:w="897"/>
        <w:gridCol w:w="897"/>
        <w:gridCol w:w="897"/>
        <w:gridCol w:w="1450"/>
        <w:gridCol w:w="1450"/>
        <w:gridCol w:w="897"/>
        <w:gridCol w:w="897"/>
        <w:gridCol w:w="897"/>
        <w:gridCol w:w="897"/>
        <w:gridCol w:w="1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9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bookmarkStart w:id="31" w:name="_Toc28622_WPSOffice_Level2"/>
            <w:bookmarkStart w:id="32" w:name="_Toc14349_WPSOffice_Level2"/>
            <w:bookmarkStart w:id="33" w:name="_Toc25608_WPSOffice_Level2"/>
            <w:bookmarkStart w:id="34" w:name="_Toc23139_WPSOffice_Level2"/>
            <w:bookmarkStart w:id="35" w:name="_Toc26621_WPSOffice_Level2"/>
            <w:bookmarkStart w:id="36" w:name="_Toc30334_WPSOffice_Level2"/>
            <w:r>
              <w:rPr>
                <w:rFonts w:hint="eastAsia" w:ascii="宋体" w:hAnsi="宋体" w:eastAsia="宋体" w:cs="宋体"/>
                <w:b/>
                <w:i w:val="0"/>
                <w:color w:val="auto"/>
                <w:kern w:val="0"/>
                <w:sz w:val="20"/>
                <w:szCs w:val="20"/>
                <w:u w:val="none"/>
                <w:lang w:val="en-US" w:eastAsia="zh-CN" w:bidi="ar"/>
              </w:rPr>
              <w:t>附件1-1</w:t>
            </w: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182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部门(单位)：墨脱县教育局机关</w:t>
            </w: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59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收入</w:t>
            </w:r>
          </w:p>
        </w:tc>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行次</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3,476.40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一、一般公共服务支出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二、外交支出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三、国有资本经营预算财政拨款收入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三、国防支出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四、上级补助收入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四、公共安全支出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五、事业收入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五、教育支出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2,271.99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六、经营收入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六、科学技术支出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七、附属单位上缴收入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七、文化旅游体育与传媒支出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1,111.19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八、其他收入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51.92</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八、社会保障和就业支出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九、卫生健康支出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十、节能环保支出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十一、城乡社区支出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十二、农林水支出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十三、交通运输支出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十四、资源勘探工业信息等支出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十五、商业服务业等支出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十六、金融支出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十七、援助其他地区支出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十八、自然资源海洋气象等支出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十九、住房保障支出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二十、粮油物资储备支出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二十一、国有资本经营预算支出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二十二、灾害防治及应急管理支出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二十三、其他支出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二十四、债务还本支出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二十五、债务付息支出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二十六、抗疫特别国债安排的支出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3,562.22</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3,562.22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使用非财政拨款结余（含专用结余）</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结余分配</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年初结转和结余</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年末结转和结余</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3,562.22</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3,562.22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935" w:type="dxa"/>
            <w:gridSpan w:val="6"/>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注：1.本表反映部门（单位）本年度的总收支和年末结转结余情况。</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    2.本套报表金额单位转换时可能存在尾数误差。</w:t>
            </w: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935" w:type="dxa"/>
            <w:gridSpan w:val="6"/>
            <w:vMerge w:val="continue"/>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bl>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49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2"/>
        <w:gridCol w:w="425"/>
        <w:gridCol w:w="541"/>
        <w:gridCol w:w="2758"/>
        <w:gridCol w:w="1630"/>
        <w:gridCol w:w="1433"/>
        <w:gridCol w:w="1440"/>
        <w:gridCol w:w="1015"/>
        <w:gridCol w:w="747"/>
        <w:gridCol w:w="953"/>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 w:hRule="atLeast"/>
        </w:trPr>
        <w:tc>
          <w:tcPr>
            <w:tcW w:w="523"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附件1-2</w:t>
            </w:r>
          </w:p>
        </w:tc>
        <w:tc>
          <w:tcPr>
            <w:tcW w:w="10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5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5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4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2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3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2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0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6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5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5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4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29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3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53"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部门(单位)：墨脱县教育局机关</w:t>
            </w:r>
          </w:p>
        </w:tc>
        <w:tc>
          <w:tcPr>
            <w:tcW w:w="1132"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40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294"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375"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54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2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10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财政拨款收入</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上级补助收入</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事业收入</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经营收入</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附属单位上缴收入</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2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14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w:t>
            </w:r>
          </w:p>
        </w:tc>
        <w:tc>
          <w:tcPr>
            <w:tcW w:w="16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款</w:t>
            </w:r>
          </w:p>
        </w:tc>
        <w:tc>
          <w:tcPr>
            <w:tcW w:w="21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w:t>
            </w:r>
          </w:p>
        </w:tc>
        <w:tc>
          <w:tcPr>
            <w:tcW w:w="10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5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14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1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3,562.22</w:t>
            </w:r>
          </w:p>
        </w:tc>
        <w:tc>
          <w:tcPr>
            <w:tcW w:w="5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3,510.30</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2,271.99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2,220.07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教育管理事务</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774.55</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722.63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2050101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622.06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570.15</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2050199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其他教育管理事务支出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20502</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普通教育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学前教育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2050202</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小学教育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2050203</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初中教育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2050204</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高中教育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2050205</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高等教育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2050299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其他普通教育支出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教育费附加安排的支出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2050999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其他教育费附加安排的支出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20599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其他教育支出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2059999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文化旅游体育与传媒支出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20703</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体育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2070305</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体育竞赛</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2070307</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体育场馆</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2070308</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群众体育</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2070399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其他体育支出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20805</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行政事业单位养老支出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2080505</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机关事业单位基本养老保险缴费支出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卫生健康支出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21004</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公共卫生</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2100499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其他公共卫生支出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21011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行政事业单位医疗</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行政单位医疗</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2101103</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公务员医疗补助</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住房保障支出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22102</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住房改革支出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2210201</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住房公积金</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2210203</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购房补贴</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22960</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彩票公益金安排的支出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 w:hRule="atLeast"/>
        </w:trPr>
        <w:tc>
          <w:tcPr>
            <w:tcW w:w="52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2296003</w:t>
            </w:r>
          </w:p>
        </w:tc>
        <w:tc>
          <w:tcPr>
            <w:tcW w:w="10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用于体育事业的彩票公益金支出</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3785" w:type="pct"/>
            <w:gridSpan w:val="8"/>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注：本表反映部门（单位）本年度取得的各项收入情况。</w:t>
            </w:r>
          </w:p>
        </w:tc>
        <w:tc>
          <w:tcPr>
            <w:tcW w:w="29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7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bl>
    <w:p>
      <w:pPr>
        <w:bidi w:val="0"/>
        <w:rPr>
          <w:rFonts w:hint="eastAsia" w:ascii="Times New Roman" w:hAnsi="Times New Roman" w:eastAsia="宋体" w:cs="Times New Roman"/>
          <w:color w:val="auto"/>
          <w:kern w:val="2"/>
          <w:sz w:val="21"/>
          <w:szCs w:val="24"/>
          <w:lang w:val="en-US" w:eastAsia="zh-CN" w:bidi="ar-SA"/>
        </w:rPr>
      </w:pP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1"/>
        <w:gridCol w:w="459"/>
        <w:gridCol w:w="485"/>
        <w:gridCol w:w="4175"/>
        <w:gridCol w:w="1148"/>
        <w:gridCol w:w="1148"/>
        <w:gridCol w:w="1148"/>
        <w:gridCol w:w="1140"/>
        <w:gridCol w:w="1106"/>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19"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附件1-3</w:t>
            </w:r>
          </w:p>
        </w:tc>
        <w:tc>
          <w:tcPr>
            <w:tcW w:w="12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2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5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2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8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34"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部门(单位)：墨脱县教育局机关</w:t>
            </w:r>
          </w:p>
        </w:tc>
        <w:tc>
          <w:tcPr>
            <w:tcW w:w="525"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525" w:type="pct"/>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auto"/>
                <w:sz w:val="20"/>
                <w:szCs w:val="20"/>
                <w:u w:val="none"/>
              </w:rPr>
            </w:pPr>
          </w:p>
        </w:tc>
        <w:tc>
          <w:tcPr>
            <w:tcW w:w="522"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682"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12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上缴上级支出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经营支出</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4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2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w:t>
            </w:r>
          </w:p>
        </w:tc>
        <w:tc>
          <w:tcPr>
            <w:tcW w:w="14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款</w:t>
            </w:r>
          </w:p>
        </w:tc>
        <w:tc>
          <w:tcPr>
            <w:tcW w:w="15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w:t>
            </w:r>
          </w:p>
        </w:tc>
        <w:tc>
          <w:tcPr>
            <w:tcW w:w="1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c>
          <w:tcPr>
            <w:tcW w:w="6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2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4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5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3,562.22</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566.98</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2,995.24</w:t>
            </w:r>
          </w:p>
        </w:tc>
        <w:tc>
          <w:tcPr>
            <w:tcW w:w="5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2,271.99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421.84</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1,850.14</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教育管理事务</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774.55</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421.84</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352.71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2050101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622.06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421.84</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200.22</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2050199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其他教育管理事务支出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20502</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普通教育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学前教育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2050202</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小学教育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2050203</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初中教育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2050204</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高中教育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2050205</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高等教育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2050299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其他普通教育支出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教育费附加安排的支出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2050999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其他教育费附加安排的支出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20599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其他教育支出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2059999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文化旅游体育与传媒支出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20703</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体育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2070305</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体育竞赛</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2070307</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体育场馆</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2070308</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群众体育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2070399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其他体育支出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20805</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行政事业单位养老支出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2080505</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机关事业单位基本养老保险缴费支出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卫生健康支出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21004</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公共卫生</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2100499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其他公共卫生支出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21011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行政事业单位医疗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行政单位医疗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2101103</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公务员医疗补助</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住房保障支出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22102</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住房改革支出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2210201</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住房公积金</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2210203</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购房补贴</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22960</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彩票公益金安排的支出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2296003</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用于体育事业的彩票公益金支出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709"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注：本表反映部门（单位）本年度取得的各项支出情况。</w:t>
            </w:r>
          </w:p>
        </w:tc>
        <w:tc>
          <w:tcPr>
            <w:tcW w:w="525" w:type="pct"/>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4"/>
                <w:szCs w:val="24"/>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4"/>
                <w:szCs w:val="24"/>
                <w:u w:val="none"/>
              </w:rPr>
            </w:pPr>
          </w:p>
        </w:tc>
        <w:tc>
          <w:tcPr>
            <w:tcW w:w="5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2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8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bl>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tbl>
      <w:tblPr>
        <w:tblStyle w:val="9"/>
        <w:tblW w:w="129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
        <w:gridCol w:w="67"/>
        <w:gridCol w:w="1825"/>
        <w:gridCol w:w="736"/>
        <w:gridCol w:w="781"/>
        <w:gridCol w:w="359"/>
        <w:gridCol w:w="90"/>
        <w:gridCol w:w="138"/>
        <w:gridCol w:w="1238"/>
        <w:gridCol w:w="1234"/>
        <w:gridCol w:w="182"/>
        <w:gridCol w:w="660"/>
        <w:gridCol w:w="960"/>
        <w:gridCol w:w="1190"/>
        <w:gridCol w:w="353"/>
        <w:gridCol w:w="1590"/>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2916"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6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8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73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40"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23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416"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6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96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19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943"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44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475"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部门(单位)：墨脱县教育局机关</w:t>
            </w:r>
          </w:p>
        </w:tc>
        <w:tc>
          <w:tcPr>
            <w:tcW w:w="3059"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842"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auto"/>
                <w:sz w:val="20"/>
                <w:szCs w:val="20"/>
                <w:u w:val="none"/>
              </w:rPr>
            </w:pPr>
          </w:p>
        </w:tc>
        <w:tc>
          <w:tcPr>
            <w:tcW w:w="1543"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auto"/>
                <w:sz w:val="20"/>
                <w:szCs w:val="20"/>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auto"/>
                <w:sz w:val="20"/>
                <w:szCs w:val="20"/>
                <w:u w:val="none"/>
              </w:rPr>
            </w:pPr>
          </w:p>
        </w:tc>
        <w:tc>
          <w:tcPr>
            <w:tcW w:w="144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38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收入</w:t>
            </w:r>
          </w:p>
        </w:tc>
        <w:tc>
          <w:tcPr>
            <w:tcW w:w="908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w:t>
            </w:r>
          </w:p>
        </w:tc>
        <w:tc>
          <w:tcPr>
            <w:tcW w:w="73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行次</w:t>
            </w:r>
          </w:p>
        </w:tc>
        <w:tc>
          <w:tcPr>
            <w:tcW w:w="114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行次</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一般公共预算财政拨款</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政府性基金预算财政拨款</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3,476.40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一、一般公共服务支出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二、外交支出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三、国有资本经营预算财政拨款</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三、国防支出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四、公共安全支出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五、教育支出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2,220.07</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2,220.07</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六、科学技术支出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七、文化旅游体育与传媒支出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1,111.19</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1,111.19</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八、社会保障和就业支出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九、卫生健康支出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34.17</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34.17</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十、节能环保支出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十一、城乡社区支出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十二、农林水支出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十三、交通运输支出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十四、资源勘探工业信息等支出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十五、商业服务业等支出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十六、金融支出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十七、援助其他地区支出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十八、自然资源海洋气象等支出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十九、住房保障支出</w:t>
            </w:r>
          </w:p>
          <w:p>
            <w:pPr>
              <w:bidi w:val="0"/>
              <w:jc w:val="both"/>
              <w:rPr>
                <w:rFonts w:hint="eastAsia"/>
                <w:color w:val="auto"/>
                <w:lang w:val="en-US" w:eastAsia="zh-CN"/>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59.06</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59.06</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二十、粮油物资储备支出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二十一、国有资本经营预算支出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二十二、灾害防治及应急管理支出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二十三、其他支出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二十四、债务还本支出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二十五、债务付息支出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二十六、抗疫特别国债安排的支出</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3,510.30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3,510.30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3,476.40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年初结转和结余</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年末结转和结余</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一般公共预算财政拨款</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政府性基金预算财政拨款</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国有资本经营预算财政拨款</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19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3,510.30</w:t>
            </w:r>
          </w:p>
        </w:tc>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8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3,510.30</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3,476.40</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12916" w:type="dxa"/>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tabs>
          <w:tab w:val="left" w:pos="454"/>
        </w:tabs>
        <w:bidi w:val="0"/>
        <w:jc w:val="left"/>
        <w:rPr>
          <w:rFonts w:hint="eastAsia"/>
          <w:color w:val="auto"/>
          <w:lang w:val="en-US" w:eastAsia="zh-CN"/>
        </w:rPr>
      </w:pPr>
    </w:p>
    <w:tbl>
      <w:tblPr>
        <w:tblStyle w:val="9"/>
        <w:tblW w:w="52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4"/>
        <w:gridCol w:w="270"/>
        <w:gridCol w:w="315"/>
        <w:gridCol w:w="535"/>
        <w:gridCol w:w="752"/>
        <w:gridCol w:w="93"/>
        <w:gridCol w:w="659"/>
        <w:gridCol w:w="752"/>
        <w:gridCol w:w="104"/>
        <w:gridCol w:w="648"/>
        <w:gridCol w:w="87"/>
        <w:gridCol w:w="665"/>
        <w:gridCol w:w="430"/>
        <w:gridCol w:w="915"/>
        <w:gridCol w:w="911"/>
        <w:gridCol w:w="889"/>
        <w:gridCol w:w="765"/>
        <w:gridCol w:w="1005"/>
        <w:gridCol w:w="525"/>
        <w:gridCol w:w="576"/>
        <w:gridCol w:w="699"/>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225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附件1-5</w:t>
            </w:r>
          </w:p>
        </w:tc>
        <w:tc>
          <w:tcPr>
            <w:tcW w:w="752"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75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1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1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8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6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9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514"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3493" w:type="dxa"/>
            <w:gridSpan w:val="2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65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850"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75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752"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752"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5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43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1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911"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8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6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9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51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6609" w:type="dxa"/>
            <w:gridSpan w:val="1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部门(单位)：墨脱县教育局机关</w:t>
            </w:r>
          </w:p>
        </w:tc>
        <w:tc>
          <w:tcPr>
            <w:tcW w:w="18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76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7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99"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51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1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年初结转和结余</w:t>
            </w:r>
          </w:p>
        </w:tc>
        <w:tc>
          <w:tcPr>
            <w:tcW w:w="29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w:t>
            </w:r>
          </w:p>
        </w:tc>
        <w:tc>
          <w:tcPr>
            <w:tcW w:w="26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w:t>
            </w:r>
          </w:p>
        </w:tc>
        <w:tc>
          <w:tcPr>
            <w:tcW w:w="33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8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基本支出结转</w:t>
            </w:r>
          </w:p>
        </w:tc>
        <w:tc>
          <w:tcPr>
            <w:tcW w:w="7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项目支出结转和结余</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基本支出结转</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项目支出结转</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w:t>
            </w:r>
          </w:p>
        </w:tc>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款</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3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3,476.40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566.98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2,909.42</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3,476.40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566.98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2,909.42</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2,220.07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421.84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1,798.23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2,220.07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421.84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1,798.23</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教育管理事务</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722.63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421.84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300.79</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722.63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421.84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300.79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2050101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570.15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421.84</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148.30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570.15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421.84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148.30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2050199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其他教育管理事务支出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152.49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20502</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普通教育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1,406.19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学前教育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504.76</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2050202</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小学教育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664.49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2050203</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初中教育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125.00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2050204</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高中教育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2050205</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高等教育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80.68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2050299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其他普通教育支出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20.26</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教育费附加安排的支出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80.73</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2050999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其他教育费附加安排的支出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80.73</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20599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其他教育支出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10.51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2059999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其他教育支出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文化旅游体育与传媒支出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20703</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体育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1,111.19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行政运行</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54.91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2070305</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体育竞赛</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2.22</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2070307</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体育场馆</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87.81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2070308</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群众体育</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19.53</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2070399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其他体育支出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946.72</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20805</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行政事业单位养老支出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51.91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2080505</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机关事业单位基本养老保险缴费支出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卫生健康支出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34.17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21004</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公共卫生</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2100499</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其他公共卫生支出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21011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行政事业单位医疗</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31.47</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行政单位医疗</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2101103</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公务员医疗补助</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住房保障支出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22102</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住房改革支出</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59.06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住房公积金</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9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2210203</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购房补贴</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9174" w:type="dxa"/>
            <w:gridSpan w:val="17"/>
            <w:tcBorders>
              <w:top w:val="single" w:color="000000" w:sz="4" w:space="0"/>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注：本表反映部门（单位）本年度一般公共预算财政拨款收入支出情况。</w:t>
            </w:r>
          </w:p>
        </w:tc>
        <w:tc>
          <w:tcPr>
            <w:tcW w:w="1005"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25"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576"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99"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514" w:type="dxa"/>
            <w:tcBorders>
              <w:top w:val="single"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r>
    </w:tbl>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tbl>
      <w:tblPr>
        <w:tblStyle w:val="9"/>
        <w:tblW w:w="5167" w:type="pct"/>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9"/>
        <w:gridCol w:w="1856"/>
        <w:gridCol w:w="510"/>
        <w:gridCol w:w="990"/>
        <w:gridCol w:w="1050"/>
        <w:gridCol w:w="1520"/>
        <w:gridCol w:w="625"/>
        <w:gridCol w:w="795"/>
        <w:gridCol w:w="1125"/>
        <w:gridCol w:w="1815"/>
        <w:gridCol w:w="57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2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附件1-6</w:t>
            </w:r>
          </w:p>
        </w:tc>
        <w:tc>
          <w:tcPr>
            <w:tcW w:w="7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 w:hRule="atLeast"/>
        </w:trPr>
        <w:tc>
          <w:tcPr>
            <w:tcW w:w="3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7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7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6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9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部门(单位)：墨脱县教育局机关</w:t>
            </w:r>
          </w:p>
        </w:tc>
        <w:tc>
          <w:tcPr>
            <w:tcW w:w="57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2024年度</w:t>
            </w:r>
          </w:p>
        </w:tc>
        <w:tc>
          <w:tcPr>
            <w:tcW w:w="2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2"/>
                <w:szCs w:val="22"/>
                <w:u w:val="none"/>
              </w:rPr>
            </w:pPr>
          </w:p>
        </w:tc>
        <w:tc>
          <w:tcPr>
            <w:tcW w:w="30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2"/>
                <w:szCs w:val="22"/>
                <w:u w:val="none"/>
              </w:rPr>
            </w:pPr>
          </w:p>
        </w:tc>
        <w:tc>
          <w:tcPr>
            <w:tcW w:w="4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2"/>
                <w:szCs w:val="22"/>
                <w:u w:val="none"/>
              </w:rPr>
            </w:pPr>
          </w:p>
        </w:tc>
        <w:tc>
          <w:tcPr>
            <w:tcW w:w="68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2"/>
                <w:szCs w:val="22"/>
                <w:u w:val="none"/>
              </w:rPr>
            </w:pPr>
          </w:p>
        </w:tc>
        <w:tc>
          <w:tcPr>
            <w:tcW w:w="21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2"/>
                <w:szCs w:val="22"/>
                <w:u w:val="none"/>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行次</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决算数</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2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行次</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决算数</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68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2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行次</w:t>
            </w:r>
          </w:p>
        </w:tc>
        <w:tc>
          <w:tcPr>
            <w:tcW w:w="5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2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8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215"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67"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工资福利支出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532.46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商品和服务支出</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25.63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债务利息及费用支出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基本工资</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63.51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办公费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30701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国内债务付息</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津贴补贴</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292.87</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印刷费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30702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国外债务付息</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奖金</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37.88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咨询费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资本性支出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30106</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伙食补助费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手续费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房屋建筑物购建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绩效工资</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水费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办公设备购置</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机关事业单位基本养老保险缴费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51.91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电费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31003</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专用设备购置</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66</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职业年金缴费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邮电费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31005</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基础设施建设</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67</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职工基本医疗保险缴费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24.98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取暖费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31006</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大型修缮</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公务员医疗补助缴费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物业管理费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信息网络及软件购置更新</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其他社会保障缴费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差旅费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物资储备</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住房公积金</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38.93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因公出国（境）费用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土地补偿</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71</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医疗费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维修（护）费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安置补助</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72</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30199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其他工资福利支出</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14.54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租赁费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地上附着物和青苗补偿</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73</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对个人和家庭的补助</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会议费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拆迁补偿</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74</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离休费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培训费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0.13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31013</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公务用车购置</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75</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30302</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退休费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公务接待费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其他交通工具购置</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76</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30303</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退职（役）费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专用材料费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31021</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文物和陈列品购置</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30304</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抚恤金</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被装购置费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31022</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无形资产购置</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78</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30305</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生活补助</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专用燃料费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31099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其他资本性支出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79</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30306</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救济费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劳务费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其他支出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30307</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医疗费补助</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委托业务费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0.40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39907</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国家赔偿费用支出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81</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助学金</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工会经费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7.62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39908</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对民间非营利组织和群众性自治组织补贴</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82</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奖励金</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福利费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经常性赠与</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83</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30310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个人农业生产补贴</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公务用车运行维护费</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9.01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39910</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资本性赠与</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84</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30311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代缴社会保险费</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30239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其他交通费用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39999</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其他支出</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30399</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其他对个人和家庭的补助</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税金及附加费用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30299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其他商品和服务支出</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88</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10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541.36</w:t>
            </w:r>
          </w:p>
        </w:tc>
        <w:tc>
          <w:tcPr>
            <w:tcW w:w="2622"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公用经费合计</w:t>
            </w:r>
          </w:p>
        </w:tc>
        <w:tc>
          <w:tcPr>
            <w:tcW w:w="2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w:t>
            </w:r>
          </w:p>
        </w:tc>
        <w:tc>
          <w:tcPr>
            <w:tcW w:w="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注：本表反映部门（单位）本年度一般公共预算财政拨款基本支出明细情况。</w:t>
            </w:r>
          </w:p>
        </w:tc>
      </w:tr>
    </w:tbl>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tbl>
      <w:tblPr>
        <w:tblStyle w:val="9"/>
        <w:tblW w:w="5255" w:type="pct"/>
        <w:tblInd w:w="-1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58"/>
        <w:gridCol w:w="332"/>
        <w:gridCol w:w="360"/>
        <w:gridCol w:w="1440"/>
        <w:gridCol w:w="470"/>
        <w:gridCol w:w="883"/>
        <w:gridCol w:w="1281"/>
        <w:gridCol w:w="660"/>
        <w:gridCol w:w="679"/>
        <w:gridCol w:w="766"/>
        <w:gridCol w:w="834"/>
        <w:gridCol w:w="817"/>
        <w:gridCol w:w="786"/>
        <w:gridCol w:w="544"/>
        <w:gridCol w:w="968"/>
        <w:gridCol w:w="800"/>
        <w:gridCol w:w="1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9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附件1-7</w:t>
            </w:r>
          </w:p>
        </w:tc>
        <w:tc>
          <w:tcPr>
            <w:tcW w:w="5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4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4158"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cs="宋体"/>
                <w:b/>
                <w:i w:val="0"/>
                <w:color w:val="auto"/>
                <w:kern w:val="0"/>
                <w:sz w:val="28"/>
                <w:szCs w:val="28"/>
                <w:u w:val="none"/>
                <w:lang w:val="en-US" w:eastAsia="zh-CN" w:bidi="ar"/>
              </w:rPr>
              <w:t xml:space="preserve">       </w:t>
            </w:r>
            <w:r>
              <w:rPr>
                <w:rFonts w:hint="eastAsia" w:ascii="宋体" w:hAnsi="宋体" w:eastAsia="宋体" w:cs="宋体"/>
                <w:b/>
                <w:i w:val="0"/>
                <w:color w:val="auto"/>
                <w:kern w:val="0"/>
                <w:sz w:val="28"/>
                <w:szCs w:val="28"/>
                <w:u w:val="none"/>
                <w:lang w:val="en-US" w:eastAsia="zh-CN" w:bidi="ar"/>
              </w:rPr>
              <w:t>政府性基金预算财政拨款收入支出决算公开表</w:t>
            </w: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3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1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13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53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1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2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7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4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5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8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1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06"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部门(单位)：墨脱县教育局机关</w:t>
            </w:r>
          </w:p>
        </w:tc>
        <w:tc>
          <w:tcPr>
            <w:tcW w:w="49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28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3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29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3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2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54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9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535"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979"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年初结转和结余</w:t>
            </w:r>
          </w:p>
        </w:tc>
        <w:tc>
          <w:tcPr>
            <w:tcW w:w="783"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w:t>
            </w:r>
          </w:p>
        </w:tc>
        <w:tc>
          <w:tcPr>
            <w:tcW w:w="90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w:t>
            </w:r>
          </w:p>
        </w:tc>
        <w:tc>
          <w:tcPr>
            <w:tcW w:w="1404"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35"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基本支出结转</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项目支出结转和结余</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w:t>
            </w:r>
          </w:p>
        </w:tc>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w:t>
            </w:r>
          </w:p>
        </w:tc>
        <w:tc>
          <w:tcPr>
            <w:tcW w:w="202"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基本支出结转</w:t>
            </w:r>
          </w:p>
        </w:tc>
        <w:tc>
          <w:tcPr>
            <w:tcW w:w="841"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35"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02"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项目支出结转</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w:t>
            </w:r>
          </w:p>
        </w:tc>
        <w:tc>
          <w:tcPr>
            <w:tcW w:w="12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款</w:t>
            </w:r>
          </w:p>
        </w:tc>
        <w:tc>
          <w:tcPr>
            <w:tcW w:w="133"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w:t>
            </w:r>
          </w:p>
        </w:tc>
        <w:tc>
          <w:tcPr>
            <w:tcW w:w="5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174"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9</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w:t>
            </w:r>
          </w:p>
        </w:tc>
        <w:tc>
          <w:tcPr>
            <w:tcW w:w="360"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w:t>
            </w:r>
          </w:p>
        </w:tc>
        <w:tc>
          <w:tcPr>
            <w:tcW w:w="297"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w:t>
            </w:r>
          </w:p>
        </w:tc>
        <w:tc>
          <w:tcPr>
            <w:tcW w:w="543"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3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2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33"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535"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7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25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31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3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2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6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其他支出</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22960</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彩票公益金安排的支出</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33.91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2296003</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用于体育事业的彩票公益金支出</w:t>
            </w: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33.91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999" w:type="pct"/>
            <w:gridSpan w:val="11"/>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注：本表反映部门（单位）本年度政府性基金预算财政拨款收入支出情况。</w:t>
            </w:r>
          </w:p>
        </w:tc>
        <w:tc>
          <w:tcPr>
            <w:tcW w:w="303"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92"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02"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60"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97"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543"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bl>
    <w:p>
      <w:pPr>
        <w:spacing w:line="578" w:lineRule="exact"/>
        <w:rPr>
          <w:rFonts w:hint="eastAsia" w:ascii="黑体" w:hAnsi="黑体" w:eastAsia="黑体" w:cs="黑体"/>
          <w:color w:val="auto"/>
          <w:sz w:val="32"/>
          <w:szCs w:val="32"/>
          <w:lang w:eastAsia="zh-CN"/>
        </w:rPr>
        <w:sectPr>
          <w:pgSz w:w="16838" w:h="11906" w:orient="landscape"/>
          <w:pgMar w:top="1587" w:right="2098" w:bottom="1474" w:left="1984" w:header="851" w:footer="992" w:gutter="0"/>
          <w:cols w:space="720" w:num="1"/>
          <w:docGrid w:type="lines" w:linePitch="312" w:charSpace="0"/>
        </w:sectPr>
      </w:pPr>
    </w:p>
    <w:tbl>
      <w:tblPr>
        <w:tblStyle w:val="9"/>
        <w:tblW w:w="52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38"/>
        <w:gridCol w:w="916"/>
        <w:gridCol w:w="870"/>
        <w:gridCol w:w="1635"/>
        <w:gridCol w:w="1125"/>
        <w:gridCol w:w="1185"/>
        <w:gridCol w:w="885"/>
        <w:gridCol w:w="1260"/>
        <w:gridCol w:w="1200"/>
        <w:gridCol w:w="860"/>
        <w:gridCol w:w="6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125"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附件1-8</w:t>
            </w:r>
          </w:p>
        </w:tc>
        <w:tc>
          <w:tcPr>
            <w:tcW w:w="6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6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60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1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4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6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2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60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93"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部门(单位)：墨脱县教育局机关</w:t>
            </w:r>
          </w:p>
        </w:tc>
        <w:tc>
          <w:tcPr>
            <w:tcW w:w="798"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3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2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602"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25"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科目代码</w:t>
            </w:r>
          </w:p>
        </w:tc>
        <w:tc>
          <w:tcPr>
            <w:tcW w:w="60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科目名称</w:t>
            </w:r>
          </w:p>
        </w:tc>
        <w:tc>
          <w:tcPr>
            <w:tcW w:w="1189"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年初结转和结余</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w:t>
            </w:r>
          </w:p>
        </w:tc>
        <w:tc>
          <w:tcPr>
            <w:tcW w:w="1161"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125"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0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结转</w:t>
            </w:r>
          </w:p>
        </w:tc>
        <w:tc>
          <w:tcPr>
            <w:tcW w:w="32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结余</w:t>
            </w: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0"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结转</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6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w:t>
            </w:r>
          </w:p>
        </w:tc>
        <w:tc>
          <w:tcPr>
            <w:tcW w:w="3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款</w:t>
            </w:r>
          </w:p>
        </w:tc>
        <w:tc>
          <w:tcPr>
            <w:tcW w:w="323"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项</w:t>
            </w:r>
          </w:p>
        </w:tc>
        <w:tc>
          <w:tcPr>
            <w:tcW w:w="6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栏次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6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23"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6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4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4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6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4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3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6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52"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本年度未产生与该表相关的预决算数据</w:t>
            </w:r>
          </w:p>
        </w:tc>
        <w:tc>
          <w:tcPr>
            <w:tcW w:w="44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3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23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6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2"/>
                <w:szCs w:val="22"/>
                <w:u w:val="none"/>
              </w:rPr>
            </w:pP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4"/>
        <w:gridCol w:w="930"/>
        <w:gridCol w:w="780"/>
        <w:gridCol w:w="1680"/>
        <w:gridCol w:w="1035"/>
        <w:gridCol w:w="1170"/>
        <w:gridCol w:w="1050"/>
        <w:gridCol w:w="1035"/>
        <w:gridCol w:w="990"/>
        <w:gridCol w:w="1155"/>
        <w:gridCol w:w="108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22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附件1-9</w:t>
            </w:r>
          </w:p>
        </w:tc>
        <w:tc>
          <w:tcPr>
            <w:tcW w:w="3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29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64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c>
          <w:tcPr>
            <w:tcW w:w="5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2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5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29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64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0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9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37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4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auto"/>
                <w:sz w:val="28"/>
                <w:szCs w:val="28"/>
                <w:u w:val="none"/>
              </w:rPr>
            </w:pPr>
          </w:p>
        </w:tc>
        <w:tc>
          <w:tcPr>
            <w:tcW w:w="58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75"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 xml:space="preserve">部门(单位)：墨脱县教育局机关 </w:t>
            </w:r>
          </w:p>
        </w:tc>
        <w:tc>
          <w:tcPr>
            <w:tcW w:w="8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2024年度</w:t>
            </w:r>
          </w:p>
        </w:tc>
        <w:tc>
          <w:tcPr>
            <w:tcW w:w="37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44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4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587"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375" w:type="pct"/>
            <w:gridSpan w:val="6"/>
            <w:tcBorders>
              <w:top w:val="single" w:color="000000" w:sz="4" w:space="0"/>
              <w:left w:val="single" w:color="808080" w:sz="4" w:space="0"/>
              <w:bottom w:val="single" w:color="000000" w:sz="4" w:space="0"/>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预算数</w:t>
            </w:r>
          </w:p>
        </w:tc>
        <w:tc>
          <w:tcPr>
            <w:tcW w:w="2624" w:type="pct"/>
            <w:gridSpan w:val="6"/>
            <w:tcBorders>
              <w:top w:val="single" w:color="000000" w:sz="4" w:space="0"/>
              <w:left w:val="single" w:color="000000" w:sz="4" w:space="0"/>
              <w:bottom w:val="single" w:color="000000" w:sz="4" w:space="0"/>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7"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356" w:type="pct"/>
            <w:vMerge w:val="restart"/>
            <w:tcBorders>
              <w:top w:val="single" w:color="000000" w:sz="4" w:space="0"/>
              <w:left w:val="nil"/>
              <w:bottom w:val="single" w:color="80808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因公出国（境）费</w:t>
            </w:r>
          </w:p>
        </w:tc>
        <w:tc>
          <w:tcPr>
            <w:tcW w:w="1341" w:type="pct"/>
            <w:gridSpan w:val="3"/>
            <w:tcBorders>
              <w:top w:val="nil"/>
              <w:left w:val="nil"/>
              <w:bottom w:val="nil"/>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公务用车购置及运行维护费</w:t>
            </w:r>
          </w:p>
        </w:tc>
        <w:tc>
          <w:tcPr>
            <w:tcW w:w="448" w:type="pct"/>
            <w:vMerge w:val="restart"/>
            <w:tcBorders>
              <w:top w:val="single" w:color="000000" w:sz="4" w:space="0"/>
              <w:left w:val="single" w:color="000000" w:sz="4" w:space="0"/>
              <w:bottom w:val="single" w:color="00000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公务接待费</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因公出国（境）费</w:t>
            </w:r>
          </w:p>
        </w:tc>
        <w:tc>
          <w:tcPr>
            <w:tcW w:w="1237" w:type="pct"/>
            <w:gridSpan w:val="3"/>
            <w:tcBorders>
              <w:top w:val="single" w:color="000000" w:sz="4" w:space="0"/>
              <w:left w:val="single" w:color="000000" w:sz="4" w:space="0"/>
              <w:bottom w:val="single" w:color="000000" w:sz="4" w:space="0"/>
              <w:right w:val="single" w:color="80808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公务用车购置及运行维护费</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7"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56" w:type="pct"/>
            <w:vMerge w:val="continue"/>
            <w:tcBorders>
              <w:top w:val="single" w:color="000000" w:sz="4" w:space="0"/>
              <w:left w:val="nil"/>
              <w:bottom w:val="single" w:color="80808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299"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小计</w:t>
            </w:r>
          </w:p>
        </w:tc>
        <w:tc>
          <w:tcPr>
            <w:tcW w:w="644"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公务用车购置费</w:t>
            </w:r>
          </w:p>
        </w:tc>
        <w:tc>
          <w:tcPr>
            <w:tcW w:w="397" w:type="pct"/>
            <w:tcBorders>
              <w:top w:val="single" w:color="000000" w:sz="4" w:space="0"/>
              <w:left w:val="single" w:color="000000" w:sz="4" w:space="0"/>
              <w:bottom w:val="single" w:color="000000" w:sz="4" w:space="0"/>
              <w:right w:val="nil"/>
            </w:tcBorders>
            <w:shd w:val="clear" w:color="FFFFFF"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公务用车运行维护费</w:t>
            </w:r>
          </w:p>
        </w:tc>
        <w:tc>
          <w:tcPr>
            <w:tcW w:w="448" w:type="pct"/>
            <w:vMerge w:val="continue"/>
            <w:tcBorders>
              <w:top w:val="single" w:color="000000" w:sz="4" w:space="0"/>
              <w:left w:val="single" w:color="000000" w:sz="4" w:space="0"/>
              <w:bottom w:val="single" w:color="000000" w:sz="4" w:space="0"/>
              <w:right w:val="nil"/>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379"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小计</w:t>
            </w:r>
          </w:p>
        </w:tc>
        <w:tc>
          <w:tcPr>
            <w:tcW w:w="443" w:type="pct"/>
            <w:tcBorders>
              <w:top w:val="nil"/>
              <w:left w:val="nil"/>
              <w:bottom w:val="nil"/>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公务用车购置费</w:t>
            </w:r>
          </w:p>
        </w:tc>
        <w:tc>
          <w:tcPr>
            <w:tcW w:w="414"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公务用车运行维护费</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7" w:type="pct"/>
            <w:tcBorders>
              <w:top w:val="nil"/>
              <w:left w:val="single" w:color="808080" w:sz="4" w:space="0"/>
              <w:bottom w:val="single" w:color="80808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w:t>
            </w:r>
          </w:p>
        </w:tc>
        <w:tc>
          <w:tcPr>
            <w:tcW w:w="356" w:type="pct"/>
            <w:tcBorders>
              <w:top w:val="single" w:color="000000" w:sz="4" w:space="0"/>
              <w:left w:val="single" w:color="000000" w:sz="4" w:space="0"/>
              <w:bottom w:val="single" w:color="80808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w:t>
            </w:r>
          </w:p>
        </w:tc>
        <w:tc>
          <w:tcPr>
            <w:tcW w:w="299"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w:t>
            </w:r>
          </w:p>
        </w:tc>
        <w:tc>
          <w:tcPr>
            <w:tcW w:w="644" w:type="pct"/>
            <w:tcBorders>
              <w:top w:val="nil"/>
              <w:left w:val="nil"/>
              <w:bottom w:val="single" w:color="80808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w:t>
            </w:r>
          </w:p>
        </w:tc>
        <w:tc>
          <w:tcPr>
            <w:tcW w:w="448"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w:t>
            </w:r>
          </w:p>
        </w:tc>
        <w:tc>
          <w:tcPr>
            <w:tcW w:w="402" w:type="pct"/>
            <w:tcBorders>
              <w:top w:val="nil"/>
              <w:left w:val="nil"/>
              <w:bottom w:val="single" w:color="00000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w:t>
            </w:r>
          </w:p>
        </w:tc>
        <w:tc>
          <w:tcPr>
            <w:tcW w:w="39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w:t>
            </w:r>
          </w:p>
        </w:tc>
        <w:tc>
          <w:tcPr>
            <w:tcW w:w="379"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w:t>
            </w:r>
          </w:p>
        </w:tc>
        <w:tc>
          <w:tcPr>
            <w:tcW w:w="414" w:type="pct"/>
            <w:tcBorders>
              <w:top w:val="nil"/>
              <w:left w:val="nil"/>
              <w:bottom w:val="nil"/>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w:t>
            </w:r>
          </w:p>
        </w:tc>
        <w:tc>
          <w:tcPr>
            <w:tcW w:w="587"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7"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11.25</w:t>
            </w:r>
          </w:p>
        </w:tc>
        <w:tc>
          <w:tcPr>
            <w:tcW w:w="356"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99"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11.25</w:t>
            </w:r>
          </w:p>
        </w:tc>
        <w:tc>
          <w:tcPr>
            <w:tcW w:w="644"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97"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11.25</w:t>
            </w:r>
          </w:p>
        </w:tc>
        <w:tc>
          <w:tcPr>
            <w:tcW w:w="448"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02"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11.25</w:t>
            </w:r>
          </w:p>
        </w:tc>
        <w:tc>
          <w:tcPr>
            <w:tcW w:w="397" w:type="pct"/>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79"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11.25</w:t>
            </w:r>
          </w:p>
        </w:tc>
        <w:tc>
          <w:tcPr>
            <w:tcW w:w="443"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14" w:type="pct"/>
            <w:tcBorders>
              <w:top w:val="single" w:color="000000" w:sz="4" w:space="0"/>
              <w:left w:val="single" w:color="000000" w:sz="4" w:space="0"/>
              <w:bottom w:val="single" w:color="000000" w:sz="4" w:space="0"/>
              <w:right w:val="nil"/>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11.25</w:t>
            </w:r>
          </w:p>
        </w:tc>
        <w:tc>
          <w:tcPr>
            <w:tcW w:w="587" w:type="pct"/>
            <w:tcBorders>
              <w:top w:val="single" w:color="000000" w:sz="4" w:space="0"/>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注：本表反映部门（单位）本年度财政拨款“三公”经费支出预决算情况。其中，预算数为“三公”经费全年预算数，反映按规定</w:t>
            </w:r>
          </w:p>
          <w:p>
            <w:pP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程序调整后的预算数；决算数是包括当年财政拨款和以前年度结转资金安排的实际支出。</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jc w:val="center"/>
        <w:rPr>
          <w:rFonts w:hint="eastAsia" w:ascii="黑体" w:hAnsi="ˎ̥" w:eastAsia="黑体"/>
          <w:color w:val="auto"/>
          <w:sz w:val="32"/>
          <w:szCs w:val="32"/>
        </w:rPr>
      </w:pPr>
      <w:bookmarkStart w:id="37" w:name="_Toc16686_WPSOffice_Level1"/>
      <w:bookmarkStart w:id="38" w:name="_Toc4402_WPSOffice_Level1"/>
      <w:bookmarkStart w:id="39" w:name="_Toc29683_WPSOffice_Level1"/>
      <w:bookmarkStart w:id="40" w:name="_Toc31264_WPSOffice_Level1"/>
      <w:bookmarkStart w:id="41" w:name="_Toc28629_WPSOffice_Level1"/>
      <w:bookmarkStart w:id="42"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3562.22</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3562.22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387.43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12.2</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3562.22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3562.22</w:t>
      </w:r>
      <w:r>
        <w:rPr>
          <w:rFonts w:hint="eastAsia" w:ascii="仿宋_GB2312" w:hAnsi="ˎ̥" w:eastAsia="仿宋_GB2312"/>
          <w:color w:val="auto"/>
          <w:sz w:val="32"/>
          <w:szCs w:val="32"/>
        </w:rPr>
        <w:t>万元。</w:t>
      </w:r>
      <w:r>
        <w:rPr>
          <w:rFonts w:hint="eastAsia" w:ascii="仿宋" w:hAnsi="仿宋" w:eastAsia="仿宋"/>
          <w:color w:val="auto"/>
          <w:sz w:val="32"/>
          <w:szCs w:val="32"/>
        </w:rPr>
        <w:t>其中：基本支出</w:t>
      </w:r>
      <w:r>
        <w:rPr>
          <w:rFonts w:hint="eastAsia" w:ascii="仿宋" w:hAnsi="仿宋" w:eastAsia="仿宋"/>
          <w:color w:val="auto"/>
          <w:sz w:val="32"/>
          <w:szCs w:val="32"/>
          <w:lang w:val="en-US" w:eastAsia="zh-CN"/>
        </w:rPr>
        <w:t>566.98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15.92</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2995.24</w:t>
      </w:r>
      <w:r>
        <w:rPr>
          <w:rFonts w:hint="eastAsia" w:ascii="仿宋" w:hAnsi="仿宋" w:eastAsia="仿宋"/>
          <w:color w:val="auto"/>
          <w:sz w:val="32"/>
          <w:szCs w:val="32"/>
        </w:rPr>
        <w:t xml:space="preserve">万元，占 </w:t>
      </w:r>
      <w:r>
        <w:rPr>
          <w:rFonts w:hint="eastAsia" w:ascii="仿宋" w:hAnsi="仿宋" w:eastAsia="仿宋"/>
          <w:color w:val="auto"/>
          <w:sz w:val="32"/>
          <w:szCs w:val="32"/>
          <w:lang w:val="en-US" w:eastAsia="zh-CN"/>
        </w:rPr>
        <w:t>84.08</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3562.22</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3510.30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98.54</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51.92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1.46</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3562.22</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566.98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15.92</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2995.24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84.08</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3510.30</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3510.30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347.93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347.93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11</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19665_WPSOffice_Level2"/>
      <w:bookmarkStart w:id="44" w:name="_Toc23005_WPSOffice_Level2"/>
      <w:bookmarkStart w:id="45" w:name="_Toc13694_WPSOffice_Level2"/>
      <w:bookmarkStart w:id="46" w:name="_Toc17398_WPSOffice_Level2"/>
      <w:bookmarkStart w:id="47" w:name="_Toc9989_WPSOffice_Level2"/>
      <w:bookmarkStart w:id="48" w:name="_Toc21737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3476.40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97.59</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524.08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17.75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27767_WPSOffice_Level2"/>
      <w:bookmarkStart w:id="50" w:name="_Toc23864_WPSOffice_Level2"/>
      <w:bookmarkStart w:id="51" w:name="_Toc18793_WPSOffice_Level2"/>
      <w:bookmarkStart w:id="52" w:name="_Toc19075_WPSOffice_Level2"/>
      <w:bookmarkStart w:id="53" w:name="_Toc2711_WPSOffice_Level2"/>
      <w:bookmarkStart w:id="54" w:name="_Toc19535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3476.40</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2220.07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63.86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文化旅游体育与传媒（类）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1111.19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31.96</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51.91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34.17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0.98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59.06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29364_WPSOffice_Level2"/>
      <w:bookmarkStart w:id="56" w:name="_Toc9502_WPSOffice_Level2"/>
      <w:bookmarkStart w:id="57" w:name="_Toc15415_WPSOffice_Level2"/>
      <w:bookmarkStart w:id="58" w:name="_Toc25136_WPSOffice_Level2"/>
      <w:bookmarkStart w:id="59" w:name="_Toc22318_WPSOffice_Level2"/>
      <w:bookmarkStart w:id="60" w:name="_Toc21701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3920.86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3562.22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90.85</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566.98</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541.36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25.63</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33.91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0.95</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年度相比，政府性基金预算财政拨款支出减少</w:t>
      </w:r>
      <w:r>
        <w:rPr>
          <w:rFonts w:hint="eastAsia" w:ascii="仿宋_GB2312" w:hAnsi="ˎ̥" w:eastAsia="仿宋_GB2312"/>
          <w:color w:val="auto"/>
          <w:sz w:val="32"/>
          <w:szCs w:val="32"/>
          <w:lang w:val="en-US" w:eastAsia="zh-CN"/>
        </w:rPr>
        <w:t>176.14</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83.86</w:t>
      </w:r>
      <w:r>
        <w:rPr>
          <w:rFonts w:hint="eastAsia" w:ascii="仿宋_GB2312" w:hAnsi="ˎ̥" w:eastAsia="仿宋_GB2312"/>
          <w:color w:val="auto"/>
          <w:sz w:val="32"/>
          <w:szCs w:val="32"/>
        </w:rPr>
        <w:t>%，主要原因是彩票公益金安排的支出</w:t>
      </w:r>
      <w:r>
        <w:rPr>
          <w:rFonts w:hint="eastAsia" w:ascii="仿宋_GB2312" w:hAnsi="ˎ̥" w:eastAsia="仿宋_GB2312"/>
          <w:color w:val="auto"/>
          <w:sz w:val="32"/>
          <w:szCs w:val="32"/>
          <w:lang w:val="en-US" w:eastAsia="zh-CN"/>
        </w:rPr>
        <w:t>减少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33.91</w:t>
      </w:r>
      <w:r>
        <w:rPr>
          <w:rFonts w:hint="eastAsia" w:ascii="仿宋_GB2312" w:hAnsi="ˎ̥" w:eastAsia="仿宋_GB2312"/>
          <w:color w:val="auto"/>
          <w:sz w:val="32"/>
          <w:szCs w:val="32"/>
        </w:rPr>
        <w:t>万元，主要用于以下方面：</w:t>
      </w:r>
      <w:r>
        <w:rPr>
          <w:rFonts w:hint="default" w:ascii="仿宋_GB2312" w:hAnsi="ˎ̥" w:eastAsia="仿宋_GB2312"/>
          <w:color w:val="auto"/>
          <w:sz w:val="32"/>
          <w:szCs w:val="32"/>
          <w:lang w:val="en-US"/>
        </w:rPr>
        <w:t>其他支出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33.91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64.09</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33.91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52.91</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8" w:name="_GoBack"/>
      <w:bookmarkEnd w:id="88"/>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spacing w:line="578" w:lineRule="exact"/>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11.25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11.25</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7.2</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177.78</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rPr>
        <w:t>公务出行</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，公务用车运行维护费</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eastAsia" w:ascii="仿宋_GB2312" w:hAnsi="ˎ̥" w:eastAsia="仿宋_GB2312"/>
          <w:color w:val="auto"/>
          <w:sz w:val="32"/>
          <w:szCs w:val="32"/>
          <w:lang w:val="en-US" w:eastAsia="zh-CN"/>
        </w:rPr>
        <w:t>11.25</w:t>
      </w:r>
      <w:r>
        <w:rPr>
          <w:rFonts w:hint="eastAsia" w:ascii="仿宋_GB2312" w:hAnsi="ˎ̥" w:eastAsia="仿宋_GB2312"/>
          <w:color w:val="auto"/>
          <w:sz w:val="32"/>
          <w:szCs w:val="32"/>
        </w:rPr>
        <w:t>万元；公务接待费支出决算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33</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2909.42</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p>
      <w:pPr>
        <w:spacing w:line="578" w:lineRule="exact"/>
        <w:ind w:firstLine="640" w:firstLineChars="200"/>
        <w:rPr>
          <w:rFonts w:hint="eastAsia" w:ascii="仿宋_GB2312" w:hAnsi="ˎ̥" w:eastAsia="仿宋_GB2312"/>
          <w:color w:val="auto"/>
          <w:sz w:val="32"/>
          <w:szCs w:val="32"/>
          <w:lang w:val="en-US" w:eastAsia="zh-CN"/>
        </w:rPr>
      </w:pPr>
    </w:p>
    <w:tbl>
      <w:tblPr>
        <w:tblStyle w:val="9"/>
        <w:tblW w:w="54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18"/>
        <w:gridCol w:w="1110"/>
        <w:gridCol w:w="1875"/>
        <w:gridCol w:w="390"/>
        <w:gridCol w:w="1365"/>
        <w:gridCol w:w="1230"/>
        <w:gridCol w:w="1005"/>
        <w:gridCol w:w="723"/>
        <w:gridCol w:w="552"/>
        <w:gridCol w:w="675"/>
        <w:gridCol w:w="136"/>
        <w:gridCol w:w="657"/>
        <w:gridCol w:w="92"/>
        <w:gridCol w:w="1156"/>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b/>
                <w:i w:val="0"/>
                <w:color w:val="000000"/>
                <w:sz w:val="40"/>
                <w:szCs w:val="40"/>
                <w:u w:val="none"/>
              </w:rPr>
            </w:pPr>
            <w:r>
              <w:rPr>
                <w:rFonts w:hint="eastAsia" w:ascii="等线" w:hAnsi="等线" w:eastAsia="等线" w:cs="等线"/>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项目名称:</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54042324T000001430854-墨脱莲花体育公园项目</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填报人:</w:t>
            </w:r>
          </w:p>
        </w:tc>
        <w:tc>
          <w:tcPr>
            <w:tcW w:w="105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次仁尼玛</w:t>
            </w: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联系方式:</w:t>
            </w:r>
          </w:p>
        </w:tc>
        <w:tc>
          <w:tcPr>
            <w:tcW w:w="141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主管部门:</w:t>
            </w:r>
          </w:p>
        </w:tc>
        <w:tc>
          <w:tcPr>
            <w:tcW w:w="120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105-墨脱县教育局</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实施单位:</w:t>
            </w:r>
          </w:p>
        </w:tc>
        <w:tc>
          <w:tcPr>
            <w:tcW w:w="290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105001-墨脱县教育局机关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资金构成(元)</w:t>
            </w:r>
          </w:p>
        </w:tc>
        <w:tc>
          <w:tcPr>
            <w:tcW w:w="670"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年初预算数</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全年预算数</w:t>
            </w:r>
          </w:p>
        </w:tc>
        <w:tc>
          <w:tcPr>
            <w:tcW w:w="14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执行数</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41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执行率（%）</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资金总额：</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14,935,296.66</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14,935,296.66</w:t>
            </w:r>
          </w:p>
        </w:tc>
        <w:tc>
          <w:tcPr>
            <w:tcW w:w="14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9,467,202.49</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63.39</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其中：财政资金：</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14,935,296.66</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14,935,296.66</w:t>
            </w:r>
          </w:p>
        </w:tc>
        <w:tc>
          <w:tcPr>
            <w:tcW w:w="14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9,467,202.49</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63.39</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单位资金：</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495" w:type="pct"/>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财政专户管理资金：</w:t>
            </w:r>
          </w:p>
        </w:tc>
        <w:tc>
          <w:tcPr>
            <w:tcW w:w="6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6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14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0.00</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0</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0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w:t>
            </w:r>
          </w:p>
        </w:tc>
        <w:tc>
          <w:tcPr>
            <w:tcW w:w="290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8" w:hRule="atLeast"/>
        </w:trPr>
        <w:tc>
          <w:tcPr>
            <w:tcW w:w="20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为加快墨脱县教育事业的发展，我局实施了墨脱莲花体育公园项目。</w:t>
            </w:r>
          </w:p>
        </w:tc>
        <w:tc>
          <w:tcPr>
            <w:tcW w:w="290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等线" w:hAnsi="等线" w:eastAsia="等线" w:cs="等线"/>
                <w:i w:val="0"/>
                <w:color w:val="000000"/>
                <w:sz w:val="22"/>
                <w:szCs w:val="22"/>
                <w:u w:val="none"/>
                <w:lang w:val="en-US"/>
              </w:rPr>
            </w:pPr>
            <w:r>
              <w:rPr>
                <w:rFonts w:hint="eastAsia" w:ascii="等线" w:hAnsi="等线" w:eastAsia="等线" w:cs="等线"/>
                <w:i w:val="0"/>
                <w:color w:val="000000"/>
                <w:kern w:val="0"/>
                <w:sz w:val="22"/>
                <w:szCs w:val="22"/>
                <w:u w:val="none"/>
                <w:lang w:val="en-US" w:eastAsia="zh-CN" w:bidi="ar"/>
              </w:rPr>
              <w:t>实施墨脱莲花体育公园项目,提升人民生活幸福感，提高生活质量。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一级指标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二级指标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三级指标</w:t>
            </w:r>
          </w:p>
        </w:tc>
        <w:tc>
          <w:tcPr>
            <w:tcW w:w="487"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指标性质</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年度指标值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度量单位</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实际完成值</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完成率</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分值</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得分</w:t>
            </w:r>
          </w:p>
        </w:tc>
        <w:tc>
          <w:tcPr>
            <w:tcW w:w="6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24"/>
                <w:szCs w:val="24"/>
                <w:u w:val="none"/>
              </w:rPr>
            </w:pPr>
            <w:r>
              <w:rPr>
                <w:rFonts w:hint="eastAsia" w:ascii="等线" w:hAnsi="等线" w:eastAsia="等线" w:cs="等线"/>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花岗石铺装</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1925.4</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1925.4</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透水砖铺装</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245.5</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245.5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数量指标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围网栏</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572.8</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平方米</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572.8</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质量指标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验收合格率</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产出指标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时效指标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项目开工及时性</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社会效益指标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受益人</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效益指标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可持续影响指标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不断提升我县体育基础设施建设达标率</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满意度指标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服务对象满意度指标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人民群众满意度</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成本指标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经济成本指标</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项目工程费用</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2000</w:t>
            </w:r>
          </w:p>
        </w:tc>
        <w:tc>
          <w:tcPr>
            <w:tcW w:w="35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万元</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1453.19</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72.66%</w:t>
            </w:r>
          </w:p>
        </w:tc>
        <w:tc>
          <w:tcPr>
            <w:tcW w:w="2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7.27</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3589"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合计</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100.00</w:t>
            </w:r>
          </w:p>
        </w:tc>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93.61</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等线" w:hAnsi="等线" w:eastAsia="等线" w:cs="等线"/>
                <w:i w:val="0"/>
                <w:color w:val="000000"/>
                <w:sz w:val="22"/>
                <w:szCs w:val="22"/>
                <w:u w:val="none"/>
              </w:rPr>
            </w:pPr>
          </w:p>
        </w:tc>
      </w:tr>
    </w:tbl>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sectPr>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23598_WPSOffice_Level2"/>
      <w:bookmarkStart w:id="62" w:name="_Toc27924"/>
      <w:bookmarkStart w:id="63" w:name="_Toc32639_WPSOffice_Level2"/>
      <w:bookmarkStart w:id="64" w:name="_Toc15565_WPSOffice_Level2"/>
      <w:bookmarkStart w:id="65" w:name="_Toc15262_WPSOffice_Level2"/>
      <w:bookmarkStart w:id="66" w:name="_Toc18325_WPSOffice_Level2"/>
      <w:bookmarkStart w:id="67" w:name="_Toc5978_WPSOffice_Level2"/>
      <w:bookmarkStart w:id="68" w:name="_Toc8808_WPSOffice_Level1"/>
      <w:bookmarkStart w:id="69" w:name="_Toc11039_WPSOffice_Level1"/>
      <w:bookmarkStart w:id="70" w:name="_Toc8874_WPSOffice_Level1"/>
      <w:bookmarkStart w:id="71" w:name="_Toc4398_WPSOffice_Level1"/>
      <w:bookmarkStart w:id="72" w:name="_Toc15425_WPSOffice_Level1"/>
      <w:bookmarkStart w:id="73" w:name="_Toc17580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p>
    <w:p>
      <w:pPr>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25.96</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，比2023年增加9.07万元，主要原因是人员增加，相关的运行经费增加。</w:t>
      </w:r>
    </w:p>
    <w:p>
      <w:pPr>
        <w:spacing w:line="578" w:lineRule="exact"/>
        <w:ind w:firstLine="640" w:firstLineChars="200"/>
        <w:outlineLvl w:val="1"/>
        <w:rPr>
          <w:rFonts w:hint="eastAsia" w:ascii="楷体" w:hAnsi="楷体" w:eastAsia="楷体" w:cs="楷体"/>
          <w:bCs/>
          <w:color w:val="auto"/>
          <w:sz w:val="32"/>
          <w:szCs w:val="32"/>
        </w:rPr>
      </w:pPr>
      <w:bookmarkStart w:id="74" w:name="_Toc23966_WPSOffice_Level2"/>
      <w:bookmarkStart w:id="75" w:name="_Toc25333_WPSOffice_Level2"/>
      <w:bookmarkStart w:id="76" w:name="_Toc30383_WPSOffice_Level2"/>
      <w:bookmarkStart w:id="77" w:name="_Toc32689_WPSOffice_Level2"/>
      <w:bookmarkStart w:id="78" w:name="_Toc3131_WPSOffice_Level2"/>
      <w:bookmarkStart w:id="79" w:name="_Toc13084_WPSOffice_Level2"/>
      <w:bookmarkStart w:id="80" w:name="_Toc26632"/>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15129_WPSOffice_Level2"/>
      <w:bookmarkStart w:id="82" w:name="_Toc10902_WPSOffice_Level2"/>
      <w:bookmarkStart w:id="83" w:name="_Toc19989_WPSOffice_Level2"/>
      <w:bookmarkStart w:id="84" w:name="_Toc527_WPSOffice_Level2"/>
      <w:bookmarkStart w:id="85" w:name="_Toc23489"/>
      <w:bookmarkStart w:id="86" w:name="_Toc6016_WPSOffice_Level2"/>
      <w:bookmarkStart w:id="87" w:name="_Toc29584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bCs/>
          <w:color w:val="auto"/>
          <w:sz w:val="32"/>
          <w:szCs w:val="32"/>
        </w:rPr>
        <w:t>截至</w:t>
      </w:r>
      <w:r>
        <w:rPr>
          <w:rFonts w:hint="eastAsia" w:ascii="仿宋_GB2312" w:hAnsi="ˎ̥" w:eastAsia="仿宋_GB2312"/>
          <w:bCs/>
          <w:color w:val="auto"/>
          <w:sz w:val="32"/>
          <w:szCs w:val="32"/>
          <w:lang w:eastAsia="zh-CN"/>
        </w:rPr>
        <w:t>2024年</w:t>
      </w:r>
      <w:r>
        <w:rPr>
          <w:rFonts w:hint="eastAsia" w:ascii="仿宋_GB2312" w:hAnsi="ˎ̥" w:eastAsia="仿宋_GB2312"/>
          <w:bCs/>
          <w:color w:val="auto"/>
          <w:sz w:val="32"/>
          <w:szCs w:val="32"/>
        </w:rPr>
        <w:t>12月31日，</w:t>
      </w: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w:t>
      </w:r>
      <w:r>
        <w:rPr>
          <w:rFonts w:hint="eastAsia" w:ascii="仿宋_GB2312" w:hAnsi="仿宋_GB2312" w:eastAsia="仿宋_GB2312" w:cs="仿宋_GB2312"/>
          <w:color w:val="auto"/>
          <w:sz w:val="32"/>
          <w:szCs w:val="32"/>
        </w:rPr>
        <w:t>均为主要领导干部用车</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12534A"/>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BD0674"/>
    <w:rsid w:val="029324ED"/>
    <w:rsid w:val="03671B82"/>
    <w:rsid w:val="08A33D57"/>
    <w:rsid w:val="09201287"/>
    <w:rsid w:val="0AE05360"/>
    <w:rsid w:val="0B054D9F"/>
    <w:rsid w:val="0BEB1F5D"/>
    <w:rsid w:val="0D882197"/>
    <w:rsid w:val="0E184DC9"/>
    <w:rsid w:val="0FC80124"/>
    <w:rsid w:val="13071936"/>
    <w:rsid w:val="136F98C7"/>
    <w:rsid w:val="14FD7C13"/>
    <w:rsid w:val="15CE3F87"/>
    <w:rsid w:val="1659747D"/>
    <w:rsid w:val="16BE7989"/>
    <w:rsid w:val="17427E68"/>
    <w:rsid w:val="1755065F"/>
    <w:rsid w:val="1832346D"/>
    <w:rsid w:val="1A2266E4"/>
    <w:rsid w:val="1AFC29C9"/>
    <w:rsid w:val="1CA52F2E"/>
    <w:rsid w:val="1CF20597"/>
    <w:rsid w:val="1DFE370B"/>
    <w:rsid w:val="1E3630B9"/>
    <w:rsid w:val="1F0D4AC3"/>
    <w:rsid w:val="1F9B5B51"/>
    <w:rsid w:val="1FFF6B02"/>
    <w:rsid w:val="21850FDE"/>
    <w:rsid w:val="240C319D"/>
    <w:rsid w:val="24D6412C"/>
    <w:rsid w:val="26EEC2B5"/>
    <w:rsid w:val="26FC5B1D"/>
    <w:rsid w:val="27120B7A"/>
    <w:rsid w:val="29472309"/>
    <w:rsid w:val="29BB47EF"/>
    <w:rsid w:val="2A916356"/>
    <w:rsid w:val="2AC16E4B"/>
    <w:rsid w:val="2B406E77"/>
    <w:rsid w:val="2C2A0C43"/>
    <w:rsid w:val="2CA8737F"/>
    <w:rsid w:val="2D1621AB"/>
    <w:rsid w:val="2D1E73A5"/>
    <w:rsid w:val="2E6565C2"/>
    <w:rsid w:val="2ED135A7"/>
    <w:rsid w:val="2EDF0F08"/>
    <w:rsid w:val="2EEC389E"/>
    <w:rsid w:val="2F5C08E5"/>
    <w:rsid w:val="30807CA4"/>
    <w:rsid w:val="317D7C5F"/>
    <w:rsid w:val="32717154"/>
    <w:rsid w:val="332351BA"/>
    <w:rsid w:val="34B63260"/>
    <w:rsid w:val="37FDA7E2"/>
    <w:rsid w:val="38192195"/>
    <w:rsid w:val="385D21A0"/>
    <w:rsid w:val="39EE78A8"/>
    <w:rsid w:val="3A314D88"/>
    <w:rsid w:val="3A746883"/>
    <w:rsid w:val="3BA13919"/>
    <w:rsid w:val="3BF04668"/>
    <w:rsid w:val="3CA15DE9"/>
    <w:rsid w:val="3D61147F"/>
    <w:rsid w:val="3D736BC0"/>
    <w:rsid w:val="3ED616A5"/>
    <w:rsid w:val="3FE61EE5"/>
    <w:rsid w:val="40010245"/>
    <w:rsid w:val="406508EE"/>
    <w:rsid w:val="408D6263"/>
    <w:rsid w:val="412B0DA3"/>
    <w:rsid w:val="416627DB"/>
    <w:rsid w:val="41B40CEE"/>
    <w:rsid w:val="44864388"/>
    <w:rsid w:val="44E03403"/>
    <w:rsid w:val="46A1108D"/>
    <w:rsid w:val="46A447AE"/>
    <w:rsid w:val="46E67E81"/>
    <w:rsid w:val="48317291"/>
    <w:rsid w:val="485F7024"/>
    <w:rsid w:val="48E70666"/>
    <w:rsid w:val="49E25274"/>
    <w:rsid w:val="4B2125F4"/>
    <w:rsid w:val="4C6877E5"/>
    <w:rsid w:val="4D6A468D"/>
    <w:rsid w:val="4EA86137"/>
    <w:rsid w:val="51016BC2"/>
    <w:rsid w:val="5162345F"/>
    <w:rsid w:val="51DA6CD8"/>
    <w:rsid w:val="521B504A"/>
    <w:rsid w:val="534F05FD"/>
    <w:rsid w:val="542F1F2F"/>
    <w:rsid w:val="56CA7FD0"/>
    <w:rsid w:val="57FA38D1"/>
    <w:rsid w:val="58471724"/>
    <w:rsid w:val="5AF3495B"/>
    <w:rsid w:val="5AF90702"/>
    <w:rsid w:val="5BDF23FE"/>
    <w:rsid w:val="5D213B6E"/>
    <w:rsid w:val="5E7068EA"/>
    <w:rsid w:val="5EA875AD"/>
    <w:rsid w:val="5F7D3333"/>
    <w:rsid w:val="60AE31D8"/>
    <w:rsid w:val="60F06516"/>
    <w:rsid w:val="611A363E"/>
    <w:rsid w:val="61385890"/>
    <w:rsid w:val="62F1225B"/>
    <w:rsid w:val="64FD68FA"/>
    <w:rsid w:val="6504510C"/>
    <w:rsid w:val="671F7586"/>
    <w:rsid w:val="677333FD"/>
    <w:rsid w:val="67F739CC"/>
    <w:rsid w:val="687436E1"/>
    <w:rsid w:val="69BF75B1"/>
    <w:rsid w:val="6AFF028A"/>
    <w:rsid w:val="6B4C55F7"/>
    <w:rsid w:val="6BB25D6B"/>
    <w:rsid w:val="6BEE02F1"/>
    <w:rsid w:val="6CEB6FF1"/>
    <w:rsid w:val="6DA45C50"/>
    <w:rsid w:val="6E9A7825"/>
    <w:rsid w:val="6EB6550C"/>
    <w:rsid w:val="6F670F9B"/>
    <w:rsid w:val="6FC65FE7"/>
    <w:rsid w:val="70043F21"/>
    <w:rsid w:val="71E11ACA"/>
    <w:rsid w:val="72A61621"/>
    <w:rsid w:val="737450E0"/>
    <w:rsid w:val="74054476"/>
    <w:rsid w:val="742F38C4"/>
    <w:rsid w:val="745C5B34"/>
    <w:rsid w:val="74AB66DC"/>
    <w:rsid w:val="74C4154C"/>
    <w:rsid w:val="751A5F84"/>
    <w:rsid w:val="75847558"/>
    <w:rsid w:val="75937F0E"/>
    <w:rsid w:val="75956FFF"/>
    <w:rsid w:val="76CB6C32"/>
    <w:rsid w:val="77AA2D01"/>
    <w:rsid w:val="781F4E85"/>
    <w:rsid w:val="78C95FBC"/>
    <w:rsid w:val="7910399E"/>
    <w:rsid w:val="7B043560"/>
    <w:rsid w:val="7BA57EF4"/>
    <w:rsid w:val="7CDE1DBD"/>
    <w:rsid w:val="7D943A85"/>
    <w:rsid w:val="7DB0448C"/>
    <w:rsid w:val="7DD20489"/>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10</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2023-08-03T16:58:00Z</cp:lastPrinted>
  <dcterms:modified xsi:type="dcterms:W3CDTF">2025-11-06T11:34:44Z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