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val="en-US" w:eastAsia="zh-CN"/>
        </w:rPr>
        <w:t>背崩乡小学</w:t>
      </w:r>
      <w:r>
        <w:rPr>
          <w:rFonts w:hint="eastAsia" w:asciiTheme="majorEastAsia" w:hAnsiTheme="majorEastAsia" w:eastAsiaTheme="majorEastAsia" w:cstheme="majorEastAsia"/>
          <w:b/>
          <w:bCs/>
          <w:color w:val="auto"/>
          <w:sz w:val="44"/>
          <w:szCs w:val="44"/>
        </w:rPr>
        <w:t>2024年度部门决算公开</w:t>
      </w: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704_WPSOffice_Level1"/>
      <w:bookmarkStart w:id="3" w:name="_Toc10720_WPSOffice_Level1"/>
      <w:bookmarkStart w:id="4" w:name="_Toc32433_WPSOffice_Level1"/>
      <w:bookmarkStart w:id="5" w:name="_Toc22941_WPSOffice_Level1"/>
      <w:bookmarkStart w:id="6" w:name="_Toc23465_WPSOffice_Level1"/>
      <w:bookmarkStart w:id="7" w:name="_Toc10049_WPSOffice_Level1"/>
      <w:bookmarkStart w:id="8" w:name="_Toc24238_WPSOffice_Level2"/>
      <w:bookmarkStart w:id="9" w:name="_Toc20205_WPSOffice_Level2"/>
      <w:bookmarkStart w:id="10" w:name="_Toc26580_WPSOffice_Level2"/>
      <w:bookmarkStart w:id="11" w:name="_Toc32622_WPSOffice_Level2"/>
      <w:bookmarkStart w:id="12" w:name="_Toc20274_WPSOffice_Level2"/>
      <w:bookmarkStart w:id="13" w:name="_Toc14159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4833_WPSOffice_Level2"/>
      <w:bookmarkStart w:id="15" w:name="_Toc24474_WPSOffice_Level2"/>
      <w:bookmarkStart w:id="16" w:name="_Toc17796_WPSOffice_Level2"/>
      <w:bookmarkStart w:id="17" w:name="_Toc24059_WPSOffice_Level2"/>
      <w:bookmarkStart w:id="18" w:name="_Toc6572_WPSOffice_Level2"/>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1.全面贯彻执行党和国家的教育方针、政策、法规，自觉抵制各种违反教育方针、政策、法规的倾向，实施素质教育。坚持社会主义办学方向，努力培养德、智、体全面发展的社会主义事业的建设者和接班人。按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"https://www.baidu.com/s?wd=%E6%95%99%E8%82%B2%E8%A7%84%E5%BE%8B&amp;tn=SE_PcZhidaonwhc_ngpagmjz&amp;rsv_dl=gh_pc_zhidao"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教育规律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办学，不断提高教育质量。</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2.做好基础教育，负责实施义务教育文化，素质教育。</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3.根据教育规律、组织制定学校发展的远景规划、近期目标、学年和学期各项工作计划以及工作指标并组织实施。</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4.制定和健全各项规章制度，规范办学行为，培养良好校风，逐步实现管理决策的科学化，管理方法的定量化和管理手段的现代化。</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5.负责教师队伍建设工作，决定校内教职工的工作安排，组织对教职工进行考核、实施奖惩。</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6.领导和组织学校的思想政治工作，把德育工作放在首位。</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7.研究思想政治工作的要求、内容、方法和规律，不断加强学生的思想政治、法律纪律和道德品质教育以及做好管理工作。</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8.教育全体职工做到教书育人、管理育人、服务育人、搞好学校、社会、家庭三结合教育。</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9.加强对财务工作的领导，正确使用各项经费，不断改善办</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条件，强化安全工作管理，创造良好的育人环境。</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10.加强与党支部的合作，主动接受学校党组织的监督，搞好领导班子的团结和协作。</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11.依靠群众办学，实行民主管理和民主监督，定期向家长报告工作，充分发挥家长参与学校民主管理和民主监督的作用。</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12.主持学校与学生家长及社会的联系工作和外来工作，搞好校际间的交往，做好与社会各界的联系工作，争取各方面力量对学校的支持。</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13.组织教师的业务学习，制</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教师进修规划，定期检查执行情况，做好师资力量的安排和调整工作。</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19" w:name="_Toc30451_WPSOffice_Level1"/>
      <w:bookmarkStart w:id="20" w:name="_Toc6234_WPSOffice_Level1"/>
      <w:bookmarkStart w:id="21" w:name="_Toc30690_WPSOffice_Level1"/>
      <w:bookmarkStart w:id="22" w:name="_Toc28253_WPSOffice_Level1"/>
      <w:bookmarkStart w:id="23" w:name="_Toc8164_WPSOffice_Level1"/>
      <w:bookmarkStart w:id="24" w:name="_Toc15521_WPSOffice_Level1"/>
      <w:bookmarkStart w:id="25" w:name="_Toc4029_WPSOffice_Level2"/>
      <w:bookmarkStart w:id="26" w:name="_Toc11518_WPSOffice_Level2"/>
      <w:bookmarkStart w:id="27" w:name="_Toc32472_WPSOffice_Level2"/>
      <w:bookmarkStart w:id="28" w:name="_Toc6211_WPSOffice_Level2"/>
      <w:bookmarkStart w:id="29" w:name="_Toc32695_WPSOffice_Level2"/>
      <w:bookmarkStart w:id="30" w:name="_Toc8867_WPSOffice_Level2"/>
      <w:r>
        <w:rPr>
          <w:rFonts w:hint="eastAsia" w:ascii="仿宋_GB2312" w:hAnsi="仿宋_GB2312" w:eastAsia="仿宋_GB2312" w:cs="仿宋_GB2312"/>
          <w:sz w:val="32"/>
          <w:szCs w:val="32"/>
          <w:lang w:eastAsia="zh-CN"/>
        </w:rPr>
        <w:t>背崩</w:t>
      </w:r>
      <w:r>
        <w:rPr>
          <w:rFonts w:hint="eastAsia" w:ascii="仿宋_GB2312" w:hAnsi="仿宋_GB2312" w:eastAsia="仿宋_GB2312" w:cs="仿宋_GB2312"/>
          <w:sz w:val="32"/>
          <w:szCs w:val="32"/>
        </w:rPr>
        <w:t>乡小学设有校长办、党支部、教务处、德育处、总务处、少队室、信教办、医务室、少年宫</w:t>
      </w: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numPr>
          <w:ilvl w:val="0"/>
          <w:numId w:val="2"/>
        </w:numPr>
        <w:spacing w:line="578" w:lineRule="exact"/>
        <w:jc w:val="center"/>
        <w:rPr>
          <w:rFonts w:hint="eastAsia" w:ascii="黑体" w:hAnsi="ˎ̥" w:eastAsia="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ascii="黑体" w:hAnsi="ˎ̥" w:eastAsia="黑体"/>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bookmarkEnd w:id="25"/>
    <w:bookmarkEnd w:id="26"/>
    <w:bookmarkEnd w:id="27"/>
    <w:bookmarkEnd w:id="28"/>
    <w:bookmarkEnd w:id="29"/>
    <w:bookmarkEnd w:id="30"/>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1"/>
        <w:gridCol w:w="891"/>
        <w:gridCol w:w="892"/>
        <w:gridCol w:w="905"/>
        <w:gridCol w:w="892"/>
        <w:gridCol w:w="1451"/>
        <w:gridCol w:w="1444"/>
        <w:gridCol w:w="892"/>
        <w:gridCol w:w="892"/>
        <w:gridCol w:w="905"/>
        <w:gridCol w:w="894"/>
        <w:gridCol w:w="1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4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bookmarkStart w:id="31" w:name="_Toc14349_WPSOffice_Level2"/>
            <w:bookmarkStart w:id="32" w:name="_Toc23139_WPSOffice_Level2"/>
            <w:bookmarkStart w:id="33" w:name="_Toc26621_WPSOffice_Level2"/>
            <w:bookmarkStart w:id="34" w:name="_Toc30334_WPSOffice_Level2"/>
            <w:bookmarkStart w:id="35" w:name="_Toc25608_WPSOffice_Level2"/>
            <w:bookmarkStart w:id="36" w:name="_Toc28622_WPSOffice_Level2"/>
            <w:r>
              <w:rPr>
                <w:rFonts w:hint="eastAsia" w:ascii="宋体" w:hAnsi="宋体" w:eastAsia="宋体" w:cs="宋体"/>
                <w:b/>
                <w:i w:val="0"/>
                <w:color w:val="000000"/>
                <w:kern w:val="0"/>
                <w:sz w:val="20"/>
                <w:szCs w:val="20"/>
                <w:u w:val="none"/>
                <w:lang w:val="en-US" w:eastAsia="zh-CN" w:bidi="ar"/>
              </w:rPr>
              <w:t>附件1-1</w:t>
            </w:r>
          </w:p>
        </w:tc>
        <w:tc>
          <w:tcPr>
            <w:tcW w:w="349"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1"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7"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5"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2"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3"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1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318" w:type="pct"/>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部门(单位)：墨脱县背崩乡小学</w:t>
            </w:r>
          </w:p>
        </w:tc>
        <w:tc>
          <w:tcPr>
            <w:tcW w:w="56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49"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349"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52"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71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31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2681"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2,146.01</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34.50</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2,180.50</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使用非财政拨款结余（含专用结余）</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1"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4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6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2,180.50</w:t>
            </w:r>
          </w:p>
        </w:tc>
        <w:tc>
          <w:tcPr>
            <w:tcW w:w="1617"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5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71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000" w:type="pct"/>
            <w:gridSpan w:val="12"/>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注：1.本表反映部门（单位）本年度的总收支和年末结转结余情况。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5000" w:type="pct"/>
            <w:gridSpan w:val="12"/>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7"/>
        <w:gridCol w:w="260"/>
        <w:gridCol w:w="287"/>
        <w:gridCol w:w="3630"/>
        <w:gridCol w:w="1119"/>
        <w:gridCol w:w="1121"/>
        <w:gridCol w:w="1080"/>
        <w:gridCol w:w="1096"/>
        <w:gridCol w:w="1139"/>
        <w:gridCol w:w="1372"/>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418"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附件1-2</w:t>
            </w:r>
          </w:p>
        </w:tc>
        <w:tc>
          <w:tcPr>
            <w:tcW w:w="10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95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部门(单位)：墨脱县背崩乡小学</w:t>
            </w:r>
          </w:p>
        </w:tc>
        <w:tc>
          <w:tcPr>
            <w:tcW w:w="93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65"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82"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73"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9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1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0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财政拨款收入</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上级补助收入</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事业收入</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经营收入</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3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5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2,180.50</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2,180.50</w:t>
            </w:r>
          </w:p>
        </w:tc>
        <w:tc>
          <w:tcPr>
            <w:tcW w:w="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1,847.89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1,847.89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1,847.89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1,847.89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63.60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63.60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1,784.29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1,784.29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城乡社区支出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21208</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2120899</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其他国有土地使用权出让收入安排的支出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注：本表反映部门（单位）本年度取得的各项收入情况。</w:t>
            </w:r>
          </w:p>
        </w:tc>
      </w:tr>
    </w:tbl>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color w:val="auto"/>
          <w:lang w:val="en-US" w:eastAsia="zh-CN"/>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2"/>
        <w:gridCol w:w="320"/>
        <w:gridCol w:w="341"/>
        <w:gridCol w:w="3630"/>
        <w:gridCol w:w="1312"/>
        <w:gridCol w:w="1307"/>
        <w:gridCol w:w="1308"/>
        <w:gridCol w:w="1301"/>
        <w:gridCol w:w="1265"/>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6"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附件1-3</w:t>
            </w:r>
          </w:p>
        </w:tc>
        <w:tc>
          <w:tcPr>
            <w:tcW w:w="128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2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8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8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25"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部门(单位)：墨脱县背崩乡小学</w:t>
            </w:r>
          </w:p>
        </w:tc>
        <w:tc>
          <w:tcPr>
            <w:tcW w:w="52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527"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524"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1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68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2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6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4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4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2,180.50</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1,225.96</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954.54</w:t>
            </w:r>
          </w:p>
        </w:tc>
        <w:tc>
          <w:tcPr>
            <w:tcW w:w="5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1,847.89</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927.85</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920.04</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1,847.89</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927.85</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920.04</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63.60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1,784.29</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906.45</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877.84</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城乡社区支出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21208</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2120899</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其他国有土地使用权出让收入安排的支出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87.93</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87.93</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46.64</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46.64</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6"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128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52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0.88</w:t>
            </w:r>
          </w:p>
        </w:tc>
        <w:tc>
          <w:tcPr>
            <w:tcW w:w="52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0.88</w:t>
            </w:r>
          </w:p>
        </w:tc>
        <w:tc>
          <w:tcPr>
            <w:tcW w:w="524"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4"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注：本表反映部门（单位）本年度取得的各项支出情况。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684"/>
        <w:gridCol w:w="684"/>
        <w:gridCol w:w="684"/>
        <w:gridCol w:w="445"/>
        <w:gridCol w:w="1106"/>
        <w:gridCol w:w="684"/>
        <w:gridCol w:w="684"/>
        <w:gridCol w:w="684"/>
        <w:gridCol w:w="684"/>
        <w:gridCol w:w="547"/>
        <w:gridCol w:w="1121"/>
        <w:gridCol w:w="1322"/>
        <w:gridCol w:w="1363"/>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6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附件1-4</w:t>
            </w: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16"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部门(单位)：墨脱县背崩乡小学</w:t>
            </w:r>
          </w:p>
        </w:tc>
        <w:tc>
          <w:tcPr>
            <w:tcW w:w="536"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14"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4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19"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35"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6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3319"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7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3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2,146.01</w:t>
            </w: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34.50</w:t>
            </w: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1,847.89</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1,847.89</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134.57</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134.57</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0.88</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0.88</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2,180.50</w:t>
            </w: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2,180.50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2,146.01</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2,180.50</w:t>
            </w:r>
          </w:p>
        </w:tc>
        <w:tc>
          <w:tcPr>
            <w:tcW w:w="10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2,180.50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2,146.01</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注：本表反映部门（单位）本年度一般公共预算财政拨款、政府性基金预算财政拨款和国有资本经营预算财政拨款的总收支和年末结转结余情况。</w:t>
            </w:r>
          </w:p>
        </w:tc>
      </w:tr>
    </w:tbl>
    <w:p>
      <w:pPr>
        <w:bidi w:val="0"/>
        <w:rPr>
          <w:rFonts w:hint="eastAsia"/>
          <w:color w:val="auto"/>
          <w:lang w:val="en-US" w:eastAsia="zh-CN"/>
        </w:rPr>
      </w:pPr>
    </w:p>
    <w:p>
      <w:pPr>
        <w:bidi w:val="0"/>
        <w:rPr>
          <w:rFonts w:hint="eastAsia"/>
          <w:color w:val="auto"/>
          <w:lang w:val="en-US" w:eastAsia="zh-CN"/>
        </w:rPr>
      </w:pP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6"/>
        <w:gridCol w:w="231"/>
        <w:gridCol w:w="298"/>
        <w:gridCol w:w="1407"/>
        <w:gridCol w:w="755"/>
        <w:gridCol w:w="701"/>
        <w:gridCol w:w="678"/>
        <w:gridCol w:w="737"/>
        <w:gridCol w:w="737"/>
        <w:gridCol w:w="691"/>
        <w:gridCol w:w="768"/>
        <w:gridCol w:w="801"/>
        <w:gridCol w:w="796"/>
        <w:gridCol w:w="924"/>
        <w:gridCol w:w="793"/>
        <w:gridCol w:w="859"/>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266"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附件1-5</w:t>
            </w:r>
          </w:p>
        </w:tc>
        <w:tc>
          <w:tcPr>
            <w:tcW w:w="5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06"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部门(单位)：墨脱县背崩乡小学</w:t>
            </w:r>
          </w:p>
        </w:tc>
        <w:tc>
          <w:tcPr>
            <w:tcW w:w="609"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88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9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42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2,146.01</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1,225.96</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920.04</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2,146.01</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1,225.96</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920.04</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1,847.89</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927.85</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920.04</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1,847.89</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927.85</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920.04</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1,847.89</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927.85</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920.04</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1,847.89</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927.85</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920.04</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63.60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21.40</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63.60</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1,784.29</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906.45</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877.84</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1,784.29</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906.45</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877.84</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111.08</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52.46</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134.57</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87.93</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87.93</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87.93</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87.93</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46.64</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46.64</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46.64</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46.64</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注：本表反映部门（单位）本年度一般公共预算财政拨款收入支出情况。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77"/>
        <w:gridCol w:w="1680"/>
        <w:gridCol w:w="915"/>
        <w:gridCol w:w="1125"/>
        <w:gridCol w:w="915"/>
        <w:gridCol w:w="1212"/>
        <w:gridCol w:w="470"/>
        <w:gridCol w:w="975"/>
        <w:gridCol w:w="1289"/>
        <w:gridCol w:w="1364"/>
        <w:gridCol w:w="540"/>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附件1-6</w:t>
            </w:r>
          </w:p>
        </w:tc>
        <w:tc>
          <w:tcPr>
            <w:tcW w:w="6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55"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部门(单位)：墨脱县背崩乡小学</w:t>
            </w:r>
          </w:p>
        </w:tc>
        <w:tc>
          <w:tcPr>
            <w:tcW w:w="47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2024年度</w:t>
            </w:r>
          </w:p>
        </w:tc>
        <w:tc>
          <w:tcPr>
            <w:tcW w:w="1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5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5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2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55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4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53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1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5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3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1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1,167.86</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125.35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17.93</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566.41</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102.88</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111.08</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52.46</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87.93</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117.87</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0.59</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39909</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1,168.56</w:t>
            </w:r>
          </w:p>
        </w:tc>
        <w:tc>
          <w:tcPr>
            <w:tcW w:w="2434"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注：本表反映部门（单位）本年度一般公共预算财政拨款基本支出明细情况。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1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5"/>
        <w:gridCol w:w="160"/>
        <w:gridCol w:w="200"/>
        <w:gridCol w:w="241"/>
        <w:gridCol w:w="40"/>
        <w:gridCol w:w="1243"/>
        <w:gridCol w:w="326"/>
        <w:gridCol w:w="690"/>
        <w:gridCol w:w="648"/>
        <w:gridCol w:w="35"/>
        <w:gridCol w:w="985"/>
        <w:gridCol w:w="63"/>
        <w:gridCol w:w="645"/>
        <w:gridCol w:w="372"/>
        <w:gridCol w:w="470"/>
        <w:gridCol w:w="386"/>
        <w:gridCol w:w="470"/>
        <w:gridCol w:w="645"/>
        <w:gridCol w:w="131"/>
        <w:gridCol w:w="678"/>
        <w:gridCol w:w="431"/>
        <w:gridCol w:w="439"/>
        <w:gridCol w:w="555"/>
        <w:gridCol w:w="101"/>
        <w:gridCol w:w="664"/>
        <w:gridCol w:w="386"/>
        <w:gridCol w:w="529"/>
        <w:gridCol w:w="825"/>
        <w:gridCol w:w="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39"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附件1-7</w:t>
            </w:r>
          </w:p>
        </w:tc>
        <w:tc>
          <w:tcPr>
            <w:tcW w:w="610"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9"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4140" w:type="pct"/>
            <w:gridSpan w:val="2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cs="宋体"/>
                <w:b/>
                <w:i w:val="0"/>
                <w:color w:val="000000"/>
                <w:kern w:val="0"/>
                <w:sz w:val="28"/>
                <w:szCs w:val="28"/>
                <w:u w:val="none"/>
                <w:lang w:val="en-US" w:eastAsia="zh-CN" w:bidi="ar"/>
              </w:rPr>
              <w:t xml:space="preserve">          </w:t>
            </w:r>
            <w:r>
              <w:rPr>
                <w:rFonts w:hint="eastAsia" w:ascii="宋体" w:hAnsi="宋体" w:eastAsia="宋体" w:cs="宋体"/>
                <w:b/>
                <w:i w:val="0"/>
                <w:color w:val="000000"/>
                <w:kern w:val="0"/>
                <w:sz w:val="28"/>
                <w:szCs w:val="28"/>
                <w:u w:val="none"/>
                <w:lang w:val="en-US" w:eastAsia="zh-CN" w:bidi="ar"/>
              </w:rPr>
              <w:t>政府性基金预算财政拨款收入支出决算公开表</w:t>
            </w: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1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36"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10"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6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9"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9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4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2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4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07"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30"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1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90"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869"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部门(单位)：墨脱县背崩乡小学</w:t>
            </w:r>
          </w:p>
        </w:tc>
        <w:tc>
          <w:tcPr>
            <w:tcW w:w="563"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2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0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3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9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51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10" w:type="pct"/>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919" w:type="pct"/>
            <w:gridSpan w:val="5"/>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887" w:type="pct"/>
            <w:gridSpan w:val="5"/>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882" w:type="pct"/>
            <w:gridSpan w:val="5"/>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360" w:type="pct"/>
            <w:gridSpan w:val="7"/>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10" w:type="pct"/>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3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1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859" w:type="pct"/>
            <w:gridSpan w:val="4"/>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33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10" w:type="pct"/>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7"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11"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36" w:type="pct"/>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91"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61"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290" w:type="pct"/>
            <w:gridSpan w:val="2"/>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347" w:type="pct"/>
            <w:gridSpan w:val="2"/>
            <w:tcBorders>
              <w:top w:val="nil"/>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512" w:type="pct"/>
            <w:gridSpan w:val="2"/>
            <w:tcBorders>
              <w:top w:val="nil"/>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6" w:type="pct"/>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10" w:type="pct"/>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8"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34.50</w:t>
            </w:r>
          </w:p>
        </w:tc>
        <w:tc>
          <w:tcPr>
            <w:tcW w:w="318"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34.50</w:t>
            </w:r>
          </w:p>
        </w:tc>
        <w:tc>
          <w:tcPr>
            <w:tcW w:w="2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34.50</w:t>
            </w:r>
          </w:p>
        </w:tc>
        <w:tc>
          <w:tcPr>
            <w:tcW w:w="307"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34.50</w:t>
            </w:r>
          </w:p>
        </w:tc>
        <w:tc>
          <w:tcPr>
            <w:tcW w:w="21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7"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2"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3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城乡社区支出</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3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21208</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国有土地使用权出让收入安排的支出</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33.62</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3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2120899</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其他国有土地使用权出让收入安排的支出</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3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3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0.88</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3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0.88</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0.88</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0.88</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0.88</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29"/>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注：本表反映部门（单位）本年度政府性基金预算财政拨款收入支出情况。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99" w:type="pct"/>
          <w:trHeight w:val="400" w:hRule="atLeast"/>
        </w:trPr>
        <w:tc>
          <w:tcPr>
            <w:tcW w:w="826"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附件1-8</w:t>
            </w:r>
          </w:p>
        </w:tc>
        <w:tc>
          <w:tcPr>
            <w:tcW w:w="63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8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09"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2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72"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2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15"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9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1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99" w:type="pct"/>
          <w:trHeight w:val="486" w:hRule="atLeast"/>
        </w:trPr>
        <w:tc>
          <w:tcPr>
            <w:tcW w:w="4800" w:type="pct"/>
            <w:gridSpan w:val="2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99" w:type="pct"/>
          <w:trHeight w:val="360" w:hRule="atLeast"/>
        </w:trPr>
        <w:tc>
          <w:tcPr>
            <w:tcW w:w="172"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82"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7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31"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87"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09"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2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72"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21"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15"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9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13"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99" w:type="pct"/>
          <w:trHeight w:val="288" w:hRule="atLeast"/>
        </w:trPr>
        <w:tc>
          <w:tcPr>
            <w:tcW w:w="2255" w:type="pct"/>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部门(单位)：墨脱县背崩乡小学</w:t>
            </w:r>
          </w:p>
        </w:tc>
        <w:tc>
          <w:tcPr>
            <w:tcW w:w="796"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2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15"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98"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13"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99" w:type="pct"/>
          <w:trHeight w:val="288" w:hRule="atLeast"/>
        </w:trPr>
        <w:tc>
          <w:tcPr>
            <w:tcW w:w="826" w:type="pct"/>
            <w:gridSpan w:val="6"/>
            <w:vMerge w:val="restart"/>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31" w:type="pct"/>
            <w:gridSpan w:val="3"/>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121" w:type="pct"/>
            <w:gridSpan w:val="7"/>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47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327" w:type="pct"/>
            <w:gridSpan w:val="7"/>
            <w:tcBorders>
              <w:top w:val="single" w:color="000000" w:sz="4" w:space="0"/>
              <w:left w:val="nil"/>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99" w:type="pct"/>
          <w:trHeight w:val="288" w:hRule="atLeast"/>
        </w:trPr>
        <w:tc>
          <w:tcPr>
            <w:tcW w:w="826" w:type="pct"/>
            <w:gridSpan w:val="6"/>
            <w:vMerge w:val="continue"/>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31" w:type="pct"/>
            <w:gridSpan w:val="3"/>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0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32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c>
          <w:tcPr>
            <w:tcW w:w="47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5"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99" w:type="pct"/>
          <w:trHeight w:val="288" w:hRule="atLeast"/>
        </w:trPr>
        <w:tc>
          <w:tcPr>
            <w:tcW w:w="172"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82"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471"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631"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0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7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1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99" w:type="pct"/>
          <w:trHeight w:val="312" w:hRule="atLeast"/>
        </w:trPr>
        <w:tc>
          <w:tcPr>
            <w:tcW w:w="172"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2"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1"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31"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9"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21"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5"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8"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3"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99" w:type="pct"/>
          <w:trHeight w:val="288" w:hRule="atLeast"/>
        </w:trPr>
        <w:tc>
          <w:tcPr>
            <w:tcW w:w="4800" w:type="pct"/>
            <w:gridSpan w:val="2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注：本表反映部门（单位）本年度国有资本经营预算财政拨款收入支出情况。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99" w:type="pct"/>
          <w:trHeight w:val="288" w:hRule="atLeast"/>
        </w:trPr>
        <w:tc>
          <w:tcPr>
            <w:tcW w:w="4800" w:type="pct"/>
            <w:gridSpan w:val="2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shd w:val="clear"/>
        <w:bidi w:val="0"/>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12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7"/>
        <w:gridCol w:w="1004"/>
        <w:gridCol w:w="989"/>
        <w:gridCol w:w="1111"/>
        <w:gridCol w:w="1263"/>
        <w:gridCol w:w="1156"/>
        <w:gridCol w:w="700"/>
        <w:gridCol w:w="989"/>
        <w:gridCol w:w="730"/>
        <w:gridCol w:w="1126"/>
        <w:gridCol w:w="1309"/>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83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附件1-9</w:t>
            </w:r>
          </w:p>
        </w:tc>
        <w:tc>
          <w:tcPr>
            <w:tcW w:w="100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1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6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5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2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0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5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12570"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35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部门(单位)：墨脱县背崩乡小学 </w:t>
            </w:r>
          </w:p>
        </w:tc>
        <w:tc>
          <w:tcPr>
            <w:tcW w:w="0" w:type="auto"/>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35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0" w:type="auto"/>
            <w:gridSpan w:val="6"/>
            <w:tcBorders>
              <w:top w:val="single" w:color="000000" w:sz="4" w:space="0"/>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6210" w:type="dxa"/>
            <w:gridSpan w:val="6"/>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004" w:type="dxa"/>
            <w:vMerge w:val="restart"/>
            <w:tcBorders>
              <w:top w:val="single" w:color="000000" w:sz="4" w:space="0"/>
              <w:left w:val="nil"/>
              <w:bottom w:val="single" w:color="80808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3363" w:type="dxa"/>
            <w:gridSpan w:val="3"/>
            <w:tcBorders>
              <w:top w:val="nil"/>
              <w:left w:val="nil"/>
              <w:bottom w:val="nil"/>
              <w:right w:val="single" w:color="80808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1156"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3165" w:type="dxa"/>
            <w:gridSpan w:val="3"/>
            <w:tcBorders>
              <w:top w:val="single" w:color="000000" w:sz="4" w:space="0"/>
              <w:left w:val="single" w:color="000000" w:sz="4" w:space="0"/>
              <w:bottom w:val="single" w:color="000000" w:sz="4" w:space="0"/>
              <w:right w:val="single" w:color="80808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04" w:type="dxa"/>
            <w:vMerge w:val="continue"/>
            <w:tcBorders>
              <w:top w:val="single" w:color="000000" w:sz="4" w:space="0"/>
              <w:left w:val="nil"/>
              <w:bottom w:val="single" w:color="80808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12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1156"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112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0" w:type="auto"/>
            <w:tcBorders>
              <w:top w:val="nil"/>
              <w:left w:val="single" w:color="808080" w:sz="4" w:space="0"/>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0" w:type="auto"/>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13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2570"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注：本表反映部门（单位）本年度财政拨款“三公”经费支出预决算情况。其中，预算数为“三公”经费全年预算数，反映按规定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2570"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2570"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sectPr>
          <w:pgSz w:w="16838" w:h="11906" w:orient="landscape"/>
          <w:pgMar w:top="1587" w:right="2098" w:bottom="1474" w:left="1984" w:header="851" w:footer="992" w:gutter="0"/>
          <w:cols w:space="0" w:num="1"/>
          <w:rtlGutter w:val="0"/>
          <w:docGrid w:type="lines" w:linePitch="315" w:charSpace="0"/>
        </w:sectPr>
      </w:pPr>
    </w:p>
    <w:p>
      <w:pPr>
        <w:spacing w:line="578" w:lineRule="exact"/>
        <w:jc w:val="center"/>
        <w:rPr>
          <w:rFonts w:hint="eastAsia" w:ascii="黑体" w:hAnsi="ˎ̥" w:eastAsia="黑体"/>
          <w:color w:val="auto"/>
          <w:sz w:val="32"/>
          <w:szCs w:val="32"/>
        </w:rPr>
      </w:pPr>
      <w:bookmarkStart w:id="37" w:name="_Toc31264_WPSOffice_Level1"/>
      <w:bookmarkStart w:id="38" w:name="_Toc4402_WPSOffice_Level1"/>
      <w:bookmarkStart w:id="39" w:name="_Toc16686_WPSOffice_Level1"/>
      <w:bookmarkStart w:id="40" w:name="_Toc28629_WPSOffice_Level1"/>
      <w:bookmarkStart w:id="41" w:name="_Toc29683_WPSOffice_Level1"/>
      <w:bookmarkStart w:id="42"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37"/>
      <w:bookmarkEnd w:id="38"/>
      <w:bookmarkEnd w:id="39"/>
      <w:bookmarkEnd w:id="40"/>
      <w:bookmarkEnd w:id="41"/>
      <w:bookmarkEnd w:id="42"/>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2180.5</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2180.5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olor w:val="auto"/>
          <w:sz w:val="32"/>
          <w:szCs w:val="32"/>
          <w:lang w:val="en-US" w:eastAsia="zh-CN"/>
        </w:rPr>
        <w:t>增加459.43</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增加26.69</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2180.5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本年支出</w:t>
      </w:r>
      <w:r>
        <w:rPr>
          <w:rFonts w:hint="eastAsia" w:ascii="仿宋_GB2312" w:hAnsi="ˎ̥" w:eastAsia="仿宋_GB2312"/>
          <w:color w:val="auto"/>
          <w:sz w:val="32"/>
          <w:szCs w:val="32"/>
          <w:lang w:val="en-US" w:eastAsia="zh-CN"/>
        </w:rPr>
        <w:t>2180.5万元。其中：基本支出1225.96万元，占56.22%；项目支出954.54万元，占43.78%。</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2180.5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全部为</w:t>
      </w:r>
      <w:r>
        <w:rPr>
          <w:rFonts w:hint="eastAsia" w:ascii="仿宋_GB2312" w:hAnsi="ˎ̥" w:eastAsia="仿宋_GB2312"/>
          <w:color w:val="auto"/>
          <w:sz w:val="32"/>
          <w:szCs w:val="32"/>
        </w:rPr>
        <w:t>财政拨款收入</w:t>
      </w:r>
      <w:r>
        <w:rPr>
          <w:rFonts w:hint="eastAsia" w:ascii="仿宋_GB2312" w:hAnsi="ˎ̥" w:eastAsia="仿宋_GB2312"/>
          <w:color w:val="auto"/>
          <w:sz w:val="32"/>
          <w:szCs w:val="32"/>
          <w:lang w:val="en-US" w:eastAsia="zh-CN"/>
        </w:rPr>
        <w:t>2180.5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本年支出</w:t>
      </w:r>
      <w:r>
        <w:rPr>
          <w:rFonts w:hint="eastAsia" w:ascii="仿宋_GB2312" w:hAnsi="ˎ̥" w:eastAsia="仿宋_GB2312"/>
          <w:color w:val="auto"/>
          <w:sz w:val="32"/>
          <w:szCs w:val="32"/>
          <w:lang w:val="en-US" w:eastAsia="zh-CN"/>
        </w:rPr>
        <w:t>2180.5万元。其中：基本支出1225.96万元，占56</w:t>
      </w:r>
      <w:r>
        <w:rPr>
          <w:rFonts w:hint="eastAsia" w:ascii="仿宋_GB2312" w:hAnsi="ˎ̥" w:eastAsia="仿宋_GB2312"/>
          <w:color w:val="auto"/>
          <w:sz w:val="32"/>
          <w:szCs w:val="32"/>
          <w:lang w:val="en-US" w:eastAsia="zh-CN"/>
        </w:rPr>
        <w:t>.22%；项目支出954.54万元，占43.78%。</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2180.5</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2180.5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w:t>
      </w:r>
      <w:r>
        <w:rPr>
          <w:rFonts w:hint="eastAsia" w:ascii="仿宋_GB2312" w:hAnsi="ˎ̥" w:eastAsia="仿宋_GB2312"/>
          <w:color w:val="auto"/>
          <w:sz w:val="32"/>
          <w:szCs w:val="32"/>
          <w:lang w:val="en-US" w:eastAsia="zh-CN"/>
        </w:rPr>
        <w:t>增加459.43</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增加26.69%</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增加459.43</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增加26.69</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3" w:name="_Toc19665_WPSOffice_Level2"/>
      <w:bookmarkStart w:id="44" w:name="_Toc13694_WPSOffice_Level2"/>
      <w:bookmarkStart w:id="45" w:name="_Toc17398_WPSOffice_Level2"/>
      <w:bookmarkStart w:id="46" w:name="_Toc21737_WPSOffice_Level2"/>
      <w:bookmarkStart w:id="47" w:name="_Toc23005_WPSOffice_Level2"/>
      <w:bookmarkStart w:id="48" w:name="_Toc9989_WPSOffice_Level2"/>
      <w:r>
        <w:rPr>
          <w:rFonts w:hint="eastAsia" w:ascii="楷体" w:hAnsi="楷体" w:eastAsia="楷体" w:cs="楷体"/>
          <w:color w:val="auto"/>
          <w:sz w:val="32"/>
          <w:szCs w:val="32"/>
        </w:rPr>
        <w:t>（一）一般公共预算财政拨款支出决算总体情况</w:t>
      </w:r>
      <w:bookmarkEnd w:id="43"/>
      <w:bookmarkEnd w:id="44"/>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eastAsia="zh-CN"/>
        </w:rPr>
        <w:t>2024</w:t>
      </w:r>
      <w:r>
        <w:rPr>
          <w:rFonts w:hint="eastAsia" w:ascii="仿宋_GB2312" w:hAnsi="ˎ̥" w:eastAsia="仿宋_GB2312"/>
          <w:color w:val="auto"/>
          <w:sz w:val="32"/>
          <w:szCs w:val="32"/>
          <w:lang w:val="en-US" w:eastAsia="zh-CN"/>
        </w:rPr>
        <w:t>年度一般公共预算财政拨款支出</w:t>
      </w:r>
      <w:r>
        <w:rPr>
          <w:rFonts w:hint="eastAsia" w:ascii="仿宋_GB2312" w:hAnsi="ˎ̥" w:eastAsia="仿宋_GB2312"/>
          <w:color w:val="auto"/>
          <w:sz w:val="32"/>
          <w:szCs w:val="32"/>
          <w:lang w:val="en-US" w:eastAsia="zh-CN"/>
        </w:rPr>
        <w:t>2146.01万元，占本年支出合计的</w:t>
      </w:r>
      <w:r>
        <w:rPr>
          <w:rFonts w:hint="eastAsia" w:ascii="仿宋_GB2312" w:hAnsi="ˎ̥" w:eastAsia="仿宋_GB2312"/>
          <w:color w:val="auto"/>
          <w:sz w:val="32"/>
          <w:szCs w:val="32"/>
          <w:lang w:val="en-US" w:eastAsia="zh-CN"/>
        </w:rPr>
        <w:t>98.42%。与</w:t>
      </w:r>
      <w:r>
        <w:rPr>
          <w:rFonts w:hint="default" w:ascii="仿宋_GB2312" w:hAnsi="ˎ̥" w:eastAsia="仿宋_GB2312"/>
          <w:color w:val="auto"/>
          <w:sz w:val="32"/>
          <w:szCs w:val="32"/>
          <w:lang w:val="en-US" w:eastAsia="zh-CN"/>
        </w:rPr>
        <w:t>2023</w:t>
      </w:r>
      <w:r>
        <w:rPr>
          <w:rFonts w:hint="eastAsia" w:ascii="仿宋_GB2312" w:hAnsi="ˎ̥" w:eastAsia="仿宋_GB2312"/>
          <w:color w:val="auto"/>
          <w:sz w:val="32"/>
          <w:szCs w:val="32"/>
          <w:lang w:val="en-US" w:eastAsia="zh-CN"/>
        </w:rPr>
        <w:t>年度相比，一般公共预算财政拨款支出</w:t>
      </w:r>
      <w:r>
        <w:rPr>
          <w:rFonts w:hint="eastAsia" w:ascii="仿宋_GB2312" w:hAnsi="ˎ̥" w:eastAsia="仿宋_GB2312"/>
          <w:color w:val="auto"/>
          <w:sz w:val="32"/>
          <w:szCs w:val="32"/>
          <w:lang w:val="en-US" w:eastAsia="zh-CN"/>
        </w:rPr>
        <w:t>增加472.44万元，</w:t>
      </w:r>
      <w:r>
        <w:rPr>
          <w:rFonts w:hint="eastAsia" w:ascii="仿宋_GB2312" w:hAnsi="ˎ̥" w:eastAsia="仿宋_GB2312"/>
          <w:color w:val="auto"/>
          <w:sz w:val="32"/>
          <w:szCs w:val="32"/>
          <w:lang w:val="en-US" w:eastAsia="zh-CN"/>
        </w:rPr>
        <w:t>增加28.23%，主要原因是项目支出</w:t>
      </w:r>
      <w:r>
        <w:rPr>
          <w:rFonts w:hint="eastAsia" w:ascii="仿宋_GB2312" w:hAnsi="ˎ̥" w:eastAsia="仿宋_GB2312"/>
          <w:color w:val="auto"/>
          <w:sz w:val="32"/>
          <w:szCs w:val="32"/>
          <w:lang w:val="en-US" w:eastAsia="zh-CN"/>
        </w:rPr>
        <w:t>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9" w:name="_Toc23864_WPSOffice_Level2"/>
      <w:bookmarkStart w:id="50" w:name="_Toc19535_WPSOffice_Level2"/>
      <w:bookmarkStart w:id="51" w:name="_Toc18793_WPSOffice_Level2"/>
      <w:bookmarkStart w:id="52" w:name="_Toc2711_WPSOffice_Level2"/>
      <w:bookmarkStart w:id="53" w:name="_Toc19075_WPSOffice_Level2"/>
      <w:bookmarkStart w:id="54" w:name="_Toc27767_WPSOffice_Level2"/>
      <w:r>
        <w:rPr>
          <w:rFonts w:hint="eastAsia" w:ascii="楷体" w:hAnsi="楷体" w:eastAsia="楷体" w:cs="楷体"/>
          <w:color w:val="auto"/>
          <w:sz w:val="32"/>
          <w:szCs w:val="32"/>
        </w:rPr>
        <w:t>（二）一般公共预算财政拨款支出决算结构情况</w:t>
      </w:r>
      <w:bookmarkEnd w:id="49"/>
      <w:bookmarkEnd w:id="50"/>
      <w:bookmarkEnd w:id="51"/>
      <w:bookmarkEnd w:id="52"/>
      <w:bookmarkEnd w:id="53"/>
      <w:bookmarkEnd w:id="54"/>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2146.01</w:t>
      </w:r>
      <w:r>
        <w:rPr>
          <w:rFonts w:hint="eastAsia" w:ascii="仿宋_GB2312" w:hAnsi="ˎ̥" w:eastAsia="仿宋_GB2312"/>
          <w:color w:val="auto"/>
          <w:sz w:val="32"/>
          <w:szCs w:val="32"/>
        </w:rPr>
        <w:t>万元，主要用于以下方面：</w:t>
      </w:r>
      <w:r>
        <w:rPr>
          <w:rFonts w:hint="eastAsia" w:ascii="仿宋_GB2312" w:hAnsi="仿宋_GB2312" w:eastAsia="仿宋_GB2312" w:cs="仿宋_GB2312"/>
          <w:b/>
          <w:sz w:val="32"/>
          <w:szCs w:val="32"/>
        </w:rPr>
        <w:t>教育（类）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1847.89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86.11</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111.08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5.18</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w:t>
      </w:r>
      <w:bookmarkStart w:id="88" w:name="_GoBack"/>
      <w:bookmarkEnd w:id="88"/>
      <w:r>
        <w:rPr>
          <w:rFonts w:hint="eastAsia" w:ascii="仿宋_GB2312" w:hAnsi="仿宋_GB2312" w:eastAsia="仿宋_GB2312" w:cs="仿宋_GB2312"/>
          <w:b/>
          <w:sz w:val="32"/>
          <w:szCs w:val="32"/>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52.46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2.44</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134.57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6.27</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55" w:name="_Toc29364_WPSOffice_Level2"/>
      <w:bookmarkStart w:id="56" w:name="_Toc21701_WPSOffice_Level2"/>
      <w:bookmarkStart w:id="57" w:name="_Toc15415_WPSOffice_Level2"/>
      <w:bookmarkStart w:id="58" w:name="_Toc22318_WPSOffice_Level2"/>
      <w:bookmarkStart w:id="59" w:name="_Toc25136_WPSOffice_Level2"/>
      <w:bookmarkStart w:id="60" w:name="_Toc9502_WPSOffice_Level2"/>
      <w:r>
        <w:rPr>
          <w:rFonts w:hint="eastAsia" w:ascii="楷体" w:hAnsi="楷体" w:eastAsia="楷体" w:cs="楷体"/>
          <w:color w:val="auto"/>
          <w:sz w:val="32"/>
          <w:szCs w:val="32"/>
        </w:rPr>
        <w:t>（三）一般公共预算财政拨款支出决算具体情况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1809.65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2146.01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118.59</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主要是项目支出增加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 w:hAnsi="仿宋" w:eastAsia="仿宋"/>
          <w:color w:val="auto"/>
          <w:sz w:val="32"/>
          <w:szCs w:val="32"/>
          <w:lang w:val="en-US" w:eastAsia="zh-CN"/>
        </w:rPr>
        <w:t>1225.96</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1168.56</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57.41</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w:t>
      </w:r>
      <w:r>
        <w:rPr>
          <w:rFonts w:hint="eastAsia" w:ascii="仿宋_GB2312" w:hAnsi="ˎ̥" w:eastAsia="仿宋_GB2312"/>
          <w:color w:val="auto"/>
          <w:sz w:val="32"/>
          <w:szCs w:val="32"/>
        </w:rPr>
        <w:t>拨款支出</w:t>
      </w:r>
      <w:r>
        <w:rPr>
          <w:rFonts w:hint="eastAsia" w:ascii="仿宋_GB2312" w:hAnsi="ˎ̥" w:eastAsia="仿宋_GB2312"/>
          <w:color w:val="auto"/>
          <w:sz w:val="32"/>
          <w:szCs w:val="32"/>
          <w:lang w:val="en-US" w:eastAsia="zh-CN"/>
        </w:rPr>
        <w:t>34.5</w:t>
      </w:r>
      <w:r>
        <w:rPr>
          <w:rFonts w:hint="eastAsia" w:ascii="仿宋_GB2312" w:hAnsi="ˎ̥" w:eastAsia="仿宋_GB2312"/>
          <w:color w:val="auto"/>
          <w:sz w:val="32"/>
          <w:szCs w:val="32"/>
        </w:rPr>
        <w:t>万元</w:t>
      </w:r>
      <w:r>
        <w:rPr>
          <w:rFonts w:hint="eastAsia" w:ascii="仿宋_GB2312" w:hAnsi="ˎ̥" w:eastAsia="仿宋_GB2312"/>
          <w:sz w:val="32"/>
          <w:szCs w:val="32"/>
        </w:rPr>
        <w:t>，占本年支出合计的</w:t>
      </w:r>
      <w:r>
        <w:rPr>
          <w:rFonts w:hint="eastAsia" w:ascii="仿宋_GB2312" w:hAnsi="ˎ̥" w:eastAsia="仿宋_GB2312"/>
          <w:sz w:val="32"/>
          <w:szCs w:val="32"/>
          <w:lang w:val="en-US" w:eastAsia="zh-CN"/>
        </w:rPr>
        <w:t>1.58</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年度相比，政府性基金预算财政拨款支出</w:t>
      </w:r>
      <w:r>
        <w:rPr>
          <w:rFonts w:hint="eastAsia" w:ascii="仿宋_GB2312" w:hAnsi="ˎ̥" w:eastAsia="仿宋_GB2312"/>
          <w:sz w:val="32"/>
          <w:szCs w:val="32"/>
          <w:lang w:val="en-US" w:eastAsia="zh-CN"/>
        </w:rPr>
        <w:t>减少13</w:t>
      </w:r>
      <w:r>
        <w:rPr>
          <w:rFonts w:hint="eastAsia" w:ascii="仿宋_GB2312" w:hAnsi="ˎ̥" w:eastAsia="仿宋_GB2312"/>
          <w:sz w:val="32"/>
          <w:szCs w:val="32"/>
        </w:rPr>
        <w:t>万元，</w:t>
      </w:r>
      <w:r>
        <w:rPr>
          <w:rFonts w:hint="eastAsia" w:ascii="仿宋_GB2312" w:hAnsi="ˎ̥" w:eastAsia="仿宋_GB2312"/>
          <w:sz w:val="32"/>
          <w:szCs w:val="32"/>
          <w:lang w:val="en-US" w:eastAsia="zh-CN"/>
        </w:rPr>
        <w:t>减少27.37</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项目支出减少</w:t>
      </w:r>
      <w:r>
        <w:rPr>
          <w:rFonts w:hint="eastAsia" w:ascii="仿宋_GB2312" w:hAnsi="ˎ̥" w:eastAsia="仿宋_GB2312"/>
          <w:sz w:val="32"/>
          <w:szCs w:val="32"/>
        </w:rPr>
        <w:t>。</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w:t>
      </w:r>
      <w:r>
        <w:rPr>
          <w:rFonts w:hint="eastAsia" w:ascii="仿宋_GB2312" w:hAnsi="ˎ̥" w:eastAsia="仿宋_GB2312"/>
          <w:color w:val="auto"/>
          <w:sz w:val="32"/>
          <w:szCs w:val="32"/>
        </w:rPr>
        <w:t>款支出</w:t>
      </w:r>
      <w:r>
        <w:rPr>
          <w:rFonts w:hint="eastAsia" w:ascii="仿宋_GB2312" w:hAnsi="ˎ̥" w:eastAsia="仿宋_GB2312"/>
          <w:color w:val="auto"/>
          <w:sz w:val="32"/>
          <w:szCs w:val="32"/>
          <w:lang w:val="en-US" w:eastAsia="zh-CN"/>
        </w:rPr>
        <w:t>34.5</w:t>
      </w:r>
      <w:r>
        <w:rPr>
          <w:rFonts w:hint="eastAsia" w:ascii="仿宋_GB2312" w:hAnsi="ˎ̥" w:eastAsia="仿宋_GB2312"/>
          <w:color w:val="auto"/>
          <w:sz w:val="32"/>
          <w:szCs w:val="32"/>
        </w:rPr>
        <w:t>元，主要用于以下方面：城乡社区</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类</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33.62万元，占97.45%；其他</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0.88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2.55</w:t>
      </w:r>
      <w:r>
        <w:rPr>
          <w:rFonts w:hint="eastAsia" w:ascii="仿宋_GB2312" w:hAnsi="ˎ̥" w:eastAsia="仿宋_GB2312"/>
          <w:color w:val="auto"/>
          <w:sz w:val="32"/>
          <w:szCs w:val="32"/>
        </w:rPr>
        <w:t>%。</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年度政府性基金预算财政拨款支出年初预算</w:t>
      </w:r>
      <w:r>
        <w:rPr>
          <w:rFonts w:hint="eastAsia" w:ascii="仿宋_GB2312" w:hAnsi="ˎ̥" w:eastAsia="仿宋_GB2312"/>
          <w:color w:val="auto"/>
          <w:sz w:val="32"/>
          <w:szCs w:val="32"/>
        </w:rPr>
        <w:t>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34.5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我单位无财政拨款“三公”经费支出。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20</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920.04</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rPr>
          <w:rFonts w:hint="eastAsia" w:ascii="仿宋_GB2312" w:hAnsi="ˎ̥" w:eastAsia="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tbl>
      <w:tblPr>
        <w:tblStyle w:val="9"/>
        <w:tblW w:w="140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5"/>
        <w:gridCol w:w="1125"/>
        <w:gridCol w:w="1710"/>
        <w:gridCol w:w="1035"/>
        <w:gridCol w:w="1125"/>
        <w:gridCol w:w="960"/>
        <w:gridCol w:w="1065"/>
        <w:gridCol w:w="915"/>
        <w:gridCol w:w="900"/>
        <w:gridCol w:w="870"/>
        <w:gridCol w:w="187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010" w:type="dxa"/>
            <w:gridSpan w:val="1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40"/>
                <w:szCs w:val="40"/>
                <w:u w:val="none"/>
              </w:rPr>
            </w:pPr>
            <w:r>
              <w:rPr>
                <w:rFonts w:hint="eastAsia" w:ascii="等线" w:hAnsi="等线" w:eastAsia="等线" w:cs="等线"/>
                <w:b/>
                <w:i w:val="0"/>
                <w:color w:val="000000"/>
                <w:kern w:val="0"/>
                <w:sz w:val="40"/>
                <w:szCs w:val="40"/>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项目名称:</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54042324T000001428925-背崩乡小学新建综合楼及附属工程项目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填报人:</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次仁尼玛</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联系方式:</w:t>
            </w: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主管部门:</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105-墨脱县教育局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实施单位:</w:t>
            </w:r>
          </w:p>
        </w:tc>
        <w:tc>
          <w:tcPr>
            <w:tcW w:w="78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105030-墨脱县背崩乡小学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资金构成(元)</w:t>
            </w:r>
          </w:p>
        </w:tc>
        <w:tc>
          <w:tcPr>
            <w:tcW w:w="1710"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全年预算数</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18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资金总额：</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6,260,100.19</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6,260,100.19</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5,990,464.60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 xml:space="preserve">10.00 </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其中：财政资金：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6,260,100.19</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6,260,100.19</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5,990,464.60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95.69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单位资金：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840"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财政专户管理资金：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1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w:t>
            </w:r>
          </w:p>
        </w:tc>
        <w:tc>
          <w:tcPr>
            <w:tcW w:w="78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8" w:hRule="atLeast"/>
        </w:trPr>
        <w:tc>
          <w:tcPr>
            <w:tcW w:w="61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为加快推进墨脱县教育事业发展，我局实施了墨脱县背崩乡小学新建综合楼及附属工程项目。</w:t>
            </w:r>
          </w:p>
        </w:tc>
        <w:tc>
          <w:tcPr>
            <w:tcW w:w="78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完成墨脱县背崩乡小学新建综合楼及附属工程项目。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二级指标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三级指标</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年度指标值</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度量单位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实际完成值</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完成率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新建综合楼</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1319.68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1319.68</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值班室</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104.3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104.3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质量指标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验收合格率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时效指标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项目开工及时性</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社会效益指标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受益人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人数</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可持续影响指标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入学率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可持续影响指标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项目设计使用年限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年</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服务对象满意度指标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师生满意度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成本指标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经济成本指标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项目工程费用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元</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5990464.6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59.90%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99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bl>
    <w:p>
      <w:pPr>
        <w:spacing w:line="578" w:lineRule="exact"/>
        <w:rPr>
          <w:rFonts w:hint="eastAsia" w:ascii="仿宋_GB2312" w:hAnsi="ˎ̥" w:eastAsia="仿宋_GB2312"/>
          <w:color w:val="auto"/>
          <w:sz w:val="32"/>
          <w:szCs w:val="32"/>
          <w:lang w:val="en-US" w:eastAsia="zh-CN"/>
        </w:rPr>
        <w:sectPr>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61" w:name="_Toc5978_WPSOffice_Level2"/>
      <w:bookmarkStart w:id="62" w:name="_Toc23598_WPSOffice_Level2"/>
      <w:bookmarkStart w:id="63" w:name="_Toc32639_WPSOffice_Level2"/>
      <w:bookmarkStart w:id="64" w:name="_Toc15565_WPSOffice_Level2"/>
      <w:bookmarkStart w:id="65" w:name="_Toc27924"/>
      <w:bookmarkStart w:id="66" w:name="_Toc15262_WPSOffice_Level2"/>
      <w:bookmarkStart w:id="67" w:name="_Toc18325_WPSOffice_Level2"/>
      <w:bookmarkStart w:id="68" w:name="_Toc11039_WPSOffice_Level1"/>
      <w:bookmarkStart w:id="69" w:name="_Toc8808_WPSOffice_Level1"/>
      <w:bookmarkStart w:id="70" w:name="_Toc17580_WPSOffice_Level1"/>
      <w:bookmarkStart w:id="71" w:name="_Toc4398_WPSOffice_Level1"/>
      <w:bookmarkStart w:id="72" w:name="_Toc8874_WPSOffice_Level1"/>
      <w:bookmarkStart w:id="73" w:name="_Toc15425_WPSOffice_Level1"/>
      <w:r>
        <w:rPr>
          <w:rFonts w:hint="eastAsia" w:ascii="楷体" w:hAnsi="楷体" w:eastAsia="楷体" w:cs="楷体"/>
          <w:bCs/>
          <w:color w:val="auto"/>
          <w:sz w:val="32"/>
          <w:szCs w:val="32"/>
        </w:rPr>
        <w:t>（一）机关运行经费支出情况。</w:t>
      </w:r>
      <w:bookmarkEnd w:id="61"/>
      <w:bookmarkEnd w:id="62"/>
      <w:bookmarkEnd w:id="63"/>
      <w:bookmarkEnd w:id="64"/>
      <w:bookmarkEnd w:id="65"/>
      <w:bookmarkEnd w:id="66"/>
      <w:bookmarkEnd w:id="67"/>
    </w:p>
    <w:p>
      <w:pPr>
        <w:spacing w:line="578" w:lineRule="exact"/>
        <w:ind w:firstLine="960" w:firstLineChars="300"/>
        <w:rPr>
          <w:rFonts w:hint="default" w:ascii="仿宋_GB2312" w:hAnsi="ˎ̥" w:eastAsia="仿宋_GB2312"/>
          <w:color w:val="auto"/>
          <w:sz w:val="32"/>
          <w:szCs w:val="32"/>
          <w:lang w:val="en-US" w:eastAsia="zh-CN"/>
        </w:rPr>
      </w:pPr>
      <w:bookmarkStart w:id="74" w:name="_Toc25333_WPSOffice_Level2"/>
      <w:bookmarkStart w:id="75" w:name="_Toc26632"/>
      <w:bookmarkStart w:id="76" w:name="_Toc30383_WPSOffice_Level2"/>
      <w:bookmarkStart w:id="77" w:name="_Toc3131_WPSOffice_Level2"/>
      <w:bookmarkStart w:id="78" w:name="_Toc13084_WPSOffice_Level2"/>
      <w:bookmarkStart w:id="79" w:name="_Toc23966_WPSOffice_Level2"/>
      <w:bookmarkStart w:id="80" w:name="_Toc32689_WPSOffice_Level2"/>
      <w:r>
        <w:rPr>
          <w:rFonts w:hint="eastAsia" w:ascii="仿宋_GB2312" w:hAnsi="ˎ̥" w:eastAsia="仿宋_GB2312"/>
          <w:color w:val="auto"/>
          <w:sz w:val="32"/>
          <w:szCs w:val="32"/>
          <w:lang w:val="en-US" w:eastAsia="zh-CN"/>
        </w:rPr>
        <w:t>2024年度我部门无</w:t>
      </w:r>
      <w:r>
        <w:rPr>
          <w:rFonts w:hint="eastAsia" w:ascii="仿宋_GB2312" w:hAnsi="ˎ̥" w:eastAsia="仿宋_GB2312"/>
          <w:color w:val="auto"/>
          <w:sz w:val="32"/>
          <w:szCs w:val="32"/>
          <w:lang w:eastAsia="zh-CN"/>
        </w:rPr>
        <w:t>机关运行经费支出。</w:t>
      </w:r>
    </w:p>
    <w:p>
      <w:pPr>
        <w:spacing w:line="578" w:lineRule="exact"/>
        <w:ind w:firstLine="640" w:firstLineChars="200"/>
        <w:outlineLvl w:val="1"/>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74"/>
      <w:bookmarkEnd w:id="75"/>
      <w:bookmarkEnd w:id="76"/>
      <w:bookmarkEnd w:id="77"/>
      <w:bookmarkEnd w:id="78"/>
      <w:bookmarkEnd w:id="79"/>
      <w:bookmarkEnd w:id="8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81" w:name="_Toc19989_WPSOffice_Level2"/>
      <w:bookmarkStart w:id="82" w:name="_Toc23489"/>
      <w:bookmarkStart w:id="83" w:name="_Toc10902_WPSOffice_Level2"/>
      <w:bookmarkStart w:id="84" w:name="_Toc527_WPSOffice_Level2"/>
      <w:bookmarkStart w:id="85" w:name="_Toc6016_WPSOffice_Level2"/>
      <w:bookmarkStart w:id="86" w:name="_Toc29584_WPSOffice_Level2"/>
      <w:bookmarkStart w:id="87" w:name="_Toc15129_WPSOffice_Level2"/>
      <w:r>
        <w:rPr>
          <w:rFonts w:hint="eastAsia" w:ascii="楷体" w:hAnsi="楷体" w:eastAsia="楷体" w:cs="楷体"/>
          <w:bCs/>
          <w:color w:val="auto"/>
          <w:sz w:val="32"/>
          <w:szCs w:val="32"/>
        </w:rPr>
        <w:t>（三）国有资产占用情况。</w:t>
      </w:r>
      <w:bookmarkEnd w:id="81"/>
      <w:bookmarkEnd w:id="82"/>
      <w:bookmarkEnd w:id="83"/>
      <w:bookmarkEnd w:id="84"/>
      <w:bookmarkEnd w:id="85"/>
      <w:bookmarkEnd w:id="86"/>
      <w:bookmarkEnd w:id="87"/>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lang w:eastAsia="zh-CN"/>
        </w:rPr>
        <w:t>国有资产占用情况。</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bookmarkEnd w:id="31"/>
    <w:bookmarkEnd w:id="32"/>
    <w:bookmarkEnd w:id="33"/>
    <w:bookmarkEnd w:id="34"/>
    <w:bookmarkEnd w:id="35"/>
    <w:bookmarkEnd w:id="36"/>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188"/>
    <w:multiLevelType w:val="singleLevel"/>
    <w:tmpl w:val="99C7D188"/>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0C11D5"/>
    <w:rsid w:val="0012534A"/>
    <w:rsid w:val="001E4E23"/>
    <w:rsid w:val="001E510D"/>
    <w:rsid w:val="001F28C1"/>
    <w:rsid w:val="001F4EC0"/>
    <w:rsid w:val="00213789"/>
    <w:rsid w:val="002A6E07"/>
    <w:rsid w:val="0034456B"/>
    <w:rsid w:val="003C6369"/>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40CE3"/>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1922A7"/>
    <w:rsid w:val="014C50ED"/>
    <w:rsid w:val="01741A3C"/>
    <w:rsid w:val="01924D7B"/>
    <w:rsid w:val="01BD0674"/>
    <w:rsid w:val="01E44B90"/>
    <w:rsid w:val="01FC2149"/>
    <w:rsid w:val="02487F4D"/>
    <w:rsid w:val="029324ED"/>
    <w:rsid w:val="02BD31A7"/>
    <w:rsid w:val="03144883"/>
    <w:rsid w:val="032A1949"/>
    <w:rsid w:val="03353CA7"/>
    <w:rsid w:val="03671B82"/>
    <w:rsid w:val="03CA5715"/>
    <w:rsid w:val="047749EB"/>
    <w:rsid w:val="04B23A48"/>
    <w:rsid w:val="05041340"/>
    <w:rsid w:val="051C3BBF"/>
    <w:rsid w:val="05752CAA"/>
    <w:rsid w:val="05C80BB0"/>
    <w:rsid w:val="05E529DF"/>
    <w:rsid w:val="062214F8"/>
    <w:rsid w:val="065A192F"/>
    <w:rsid w:val="06800A63"/>
    <w:rsid w:val="068A3043"/>
    <w:rsid w:val="07A6222D"/>
    <w:rsid w:val="07C86BA7"/>
    <w:rsid w:val="07CD4557"/>
    <w:rsid w:val="08792B5F"/>
    <w:rsid w:val="08CE3A2F"/>
    <w:rsid w:val="09087051"/>
    <w:rsid w:val="09160752"/>
    <w:rsid w:val="09201287"/>
    <w:rsid w:val="0AAD72F9"/>
    <w:rsid w:val="0AAE4D33"/>
    <w:rsid w:val="0AE05360"/>
    <w:rsid w:val="0AE35A88"/>
    <w:rsid w:val="0B054D9F"/>
    <w:rsid w:val="0B2E6267"/>
    <w:rsid w:val="0B471084"/>
    <w:rsid w:val="0B8A576B"/>
    <w:rsid w:val="0BAA1C30"/>
    <w:rsid w:val="0BEB1F5D"/>
    <w:rsid w:val="0C034C8F"/>
    <w:rsid w:val="0C126CD9"/>
    <w:rsid w:val="0C2E41D9"/>
    <w:rsid w:val="0C7B2006"/>
    <w:rsid w:val="0C864CFC"/>
    <w:rsid w:val="0CA35E42"/>
    <w:rsid w:val="0CE204EF"/>
    <w:rsid w:val="0D065DF0"/>
    <w:rsid w:val="0D882197"/>
    <w:rsid w:val="0DB667E1"/>
    <w:rsid w:val="0DE85904"/>
    <w:rsid w:val="0E184DC9"/>
    <w:rsid w:val="0E4B2FA6"/>
    <w:rsid w:val="0E851594"/>
    <w:rsid w:val="0E946EB4"/>
    <w:rsid w:val="0F065F2F"/>
    <w:rsid w:val="0F49256B"/>
    <w:rsid w:val="0FC80124"/>
    <w:rsid w:val="0FD151F6"/>
    <w:rsid w:val="0FD31911"/>
    <w:rsid w:val="0FF06EB0"/>
    <w:rsid w:val="101D286A"/>
    <w:rsid w:val="104C416C"/>
    <w:rsid w:val="107104E5"/>
    <w:rsid w:val="10AA7EE9"/>
    <w:rsid w:val="10B469FA"/>
    <w:rsid w:val="10CA3F8E"/>
    <w:rsid w:val="11132000"/>
    <w:rsid w:val="11693817"/>
    <w:rsid w:val="11945B15"/>
    <w:rsid w:val="11945D9A"/>
    <w:rsid w:val="11AB626C"/>
    <w:rsid w:val="11B13D2E"/>
    <w:rsid w:val="11B72B43"/>
    <w:rsid w:val="121C3A7E"/>
    <w:rsid w:val="121C49D6"/>
    <w:rsid w:val="12613FB1"/>
    <w:rsid w:val="12A81505"/>
    <w:rsid w:val="12CB0405"/>
    <w:rsid w:val="13071936"/>
    <w:rsid w:val="131331C1"/>
    <w:rsid w:val="131503EF"/>
    <w:rsid w:val="132B690D"/>
    <w:rsid w:val="134336CC"/>
    <w:rsid w:val="134E2F1F"/>
    <w:rsid w:val="136F98C7"/>
    <w:rsid w:val="13D62796"/>
    <w:rsid w:val="13DB5B34"/>
    <w:rsid w:val="13E6681A"/>
    <w:rsid w:val="140218C6"/>
    <w:rsid w:val="142156A4"/>
    <w:rsid w:val="1494185A"/>
    <w:rsid w:val="14A709DB"/>
    <w:rsid w:val="14C23C26"/>
    <w:rsid w:val="14DD2775"/>
    <w:rsid w:val="14F17710"/>
    <w:rsid w:val="14FD7C13"/>
    <w:rsid w:val="154C47EC"/>
    <w:rsid w:val="15582F56"/>
    <w:rsid w:val="15CE3F87"/>
    <w:rsid w:val="15DA139F"/>
    <w:rsid w:val="15FC4608"/>
    <w:rsid w:val="16137016"/>
    <w:rsid w:val="162E0890"/>
    <w:rsid w:val="163A3ADA"/>
    <w:rsid w:val="1659747D"/>
    <w:rsid w:val="16742122"/>
    <w:rsid w:val="16946D1A"/>
    <w:rsid w:val="16AA6BDE"/>
    <w:rsid w:val="16BE7989"/>
    <w:rsid w:val="16FC1069"/>
    <w:rsid w:val="17427E68"/>
    <w:rsid w:val="1755065F"/>
    <w:rsid w:val="17560A1D"/>
    <w:rsid w:val="17967775"/>
    <w:rsid w:val="1832346D"/>
    <w:rsid w:val="186A722D"/>
    <w:rsid w:val="191C1625"/>
    <w:rsid w:val="191F2D37"/>
    <w:rsid w:val="194C38F4"/>
    <w:rsid w:val="199514FC"/>
    <w:rsid w:val="19DD4C94"/>
    <w:rsid w:val="19E00108"/>
    <w:rsid w:val="19F76D88"/>
    <w:rsid w:val="1A2266E4"/>
    <w:rsid w:val="1A2649D5"/>
    <w:rsid w:val="1AFC29C9"/>
    <w:rsid w:val="1B251E30"/>
    <w:rsid w:val="1B2F6F9F"/>
    <w:rsid w:val="1B650AE6"/>
    <w:rsid w:val="1BA3633D"/>
    <w:rsid w:val="1BBD6311"/>
    <w:rsid w:val="1C323ABD"/>
    <w:rsid w:val="1C3A3D5E"/>
    <w:rsid w:val="1CA52F2E"/>
    <w:rsid w:val="1CEA2513"/>
    <w:rsid w:val="1CF20597"/>
    <w:rsid w:val="1D253502"/>
    <w:rsid w:val="1D434B02"/>
    <w:rsid w:val="1D856681"/>
    <w:rsid w:val="1DC15CE9"/>
    <w:rsid w:val="1DE96D51"/>
    <w:rsid w:val="1DFE370B"/>
    <w:rsid w:val="1E2A15AE"/>
    <w:rsid w:val="1E3630B9"/>
    <w:rsid w:val="1E872024"/>
    <w:rsid w:val="1F0D4AC3"/>
    <w:rsid w:val="1F5758A1"/>
    <w:rsid w:val="1F852988"/>
    <w:rsid w:val="1F9B5B51"/>
    <w:rsid w:val="1FD008F3"/>
    <w:rsid w:val="1FFF6B02"/>
    <w:rsid w:val="204769DE"/>
    <w:rsid w:val="20584B21"/>
    <w:rsid w:val="20D504E9"/>
    <w:rsid w:val="20E30473"/>
    <w:rsid w:val="215A3256"/>
    <w:rsid w:val="21850FDE"/>
    <w:rsid w:val="228918E2"/>
    <w:rsid w:val="22A55F7B"/>
    <w:rsid w:val="22E5204E"/>
    <w:rsid w:val="22FE77F1"/>
    <w:rsid w:val="239C5E39"/>
    <w:rsid w:val="23A14BBA"/>
    <w:rsid w:val="23F93F53"/>
    <w:rsid w:val="240C319D"/>
    <w:rsid w:val="24530192"/>
    <w:rsid w:val="24752B52"/>
    <w:rsid w:val="247C6843"/>
    <w:rsid w:val="24BE1914"/>
    <w:rsid w:val="24CE1297"/>
    <w:rsid w:val="24D6412C"/>
    <w:rsid w:val="24DF6036"/>
    <w:rsid w:val="25083F98"/>
    <w:rsid w:val="2541423A"/>
    <w:rsid w:val="25530AA8"/>
    <w:rsid w:val="261C6066"/>
    <w:rsid w:val="265F26D7"/>
    <w:rsid w:val="26E60DB1"/>
    <w:rsid w:val="26EEC2B5"/>
    <w:rsid w:val="26FC44EE"/>
    <w:rsid w:val="26FC5B1D"/>
    <w:rsid w:val="27F759AC"/>
    <w:rsid w:val="2818523C"/>
    <w:rsid w:val="285E1DC9"/>
    <w:rsid w:val="287A3D96"/>
    <w:rsid w:val="29033822"/>
    <w:rsid w:val="29472309"/>
    <w:rsid w:val="29BB47EF"/>
    <w:rsid w:val="29DF3E16"/>
    <w:rsid w:val="2A2B000D"/>
    <w:rsid w:val="2A353C72"/>
    <w:rsid w:val="2A587431"/>
    <w:rsid w:val="2A916356"/>
    <w:rsid w:val="2AC16E4B"/>
    <w:rsid w:val="2ACF5380"/>
    <w:rsid w:val="2AE22BBA"/>
    <w:rsid w:val="2AEB76F1"/>
    <w:rsid w:val="2B406E77"/>
    <w:rsid w:val="2B5A335B"/>
    <w:rsid w:val="2B8D1167"/>
    <w:rsid w:val="2B9E4D5E"/>
    <w:rsid w:val="2BA84A35"/>
    <w:rsid w:val="2BA95A66"/>
    <w:rsid w:val="2BBE1D43"/>
    <w:rsid w:val="2BDD10DC"/>
    <w:rsid w:val="2BE96243"/>
    <w:rsid w:val="2BF74B2A"/>
    <w:rsid w:val="2C170512"/>
    <w:rsid w:val="2C1E3812"/>
    <w:rsid w:val="2C2921BD"/>
    <w:rsid w:val="2C2A0C43"/>
    <w:rsid w:val="2C614540"/>
    <w:rsid w:val="2C641E89"/>
    <w:rsid w:val="2C76651F"/>
    <w:rsid w:val="2CA8737F"/>
    <w:rsid w:val="2CDC69CA"/>
    <w:rsid w:val="2D1621AB"/>
    <w:rsid w:val="2D1E73A5"/>
    <w:rsid w:val="2D470B23"/>
    <w:rsid w:val="2D8F5340"/>
    <w:rsid w:val="2DEB3A28"/>
    <w:rsid w:val="2E31536C"/>
    <w:rsid w:val="2E6565C2"/>
    <w:rsid w:val="2E9A0B35"/>
    <w:rsid w:val="2EAB5181"/>
    <w:rsid w:val="2EC57107"/>
    <w:rsid w:val="2ED135A7"/>
    <w:rsid w:val="2EDF0F08"/>
    <w:rsid w:val="2EEC389E"/>
    <w:rsid w:val="2F4120D1"/>
    <w:rsid w:val="2F5C08E5"/>
    <w:rsid w:val="3044310A"/>
    <w:rsid w:val="30807CA4"/>
    <w:rsid w:val="30F641E8"/>
    <w:rsid w:val="310419E1"/>
    <w:rsid w:val="31586457"/>
    <w:rsid w:val="317130B9"/>
    <w:rsid w:val="317D7C5F"/>
    <w:rsid w:val="31D92244"/>
    <w:rsid w:val="3234519E"/>
    <w:rsid w:val="32390A7C"/>
    <w:rsid w:val="326C07E9"/>
    <w:rsid w:val="32717154"/>
    <w:rsid w:val="32CA1ADC"/>
    <w:rsid w:val="332351BA"/>
    <w:rsid w:val="332E4AAE"/>
    <w:rsid w:val="33D26081"/>
    <w:rsid w:val="3400743E"/>
    <w:rsid w:val="3427797A"/>
    <w:rsid w:val="34B63260"/>
    <w:rsid w:val="34CB047A"/>
    <w:rsid w:val="351D5933"/>
    <w:rsid w:val="35516992"/>
    <w:rsid w:val="3573699D"/>
    <w:rsid w:val="35F46956"/>
    <w:rsid w:val="36281514"/>
    <w:rsid w:val="36B36EF9"/>
    <w:rsid w:val="36BC5BAE"/>
    <w:rsid w:val="36C362B5"/>
    <w:rsid w:val="36F937B6"/>
    <w:rsid w:val="377D73BE"/>
    <w:rsid w:val="37FDA7E2"/>
    <w:rsid w:val="38192195"/>
    <w:rsid w:val="38394584"/>
    <w:rsid w:val="384B2632"/>
    <w:rsid w:val="385A1373"/>
    <w:rsid w:val="385D21A0"/>
    <w:rsid w:val="38697ACF"/>
    <w:rsid w:val="38863C5F"/>
    <w:rsid w:val="38B91761"/>
    <w:rsid w:val="39435BA9"/>
    <w:rsid w:val="39A1696F"/>
    <w:rsid w:val="39DB681B"/>
    <w:rsid w:val="39DD4518"/>
    <w:rsid w:val="39EE78A8"/>
    <w:rsid w:val="3A314D88"/>
    <w:rsid w:val="3A656D10"/>
    <w:rsid w:val="3A746883"/>
    <w:rsid w:val="3A770CB9"/>
    <w:rsid w:val="3AA36088"/>
    <w:rsid w:val="3AD77AEE"/>
    <w:rsid w:val="3B3070F6"/>
    <w:rsid w:val="3B443201"/>
    <w:rsid w:val="3B5E3E17"/>
    <w:rsid w:val="3B76046C"/>
    <w:rsid w:val="3B7E6C33"/>
    <w:rsid w:val="3BA13919"/>
    <w:rsid w:val="3BB6462D"/>
    <w:rsid w:val="3BE92317"/>
    <w:rsid w:val="3BF04668"/>
    <w:rsid w:val="3BF36762"/>
    <w:rsid w:val="3C14475F"/>
    <w:rsid w:val="3C2D26D6"/>
    <w:rsid w:val="3C566C17"/>
    <w:rsid w:val="3C5F4E16"/>
    <w:rsid w:val="3CA15DE9"/>
    <w:rsid w:val="3D282D51"/>
    <w:rsid w:val="3D2F5C32"/>
    <w:rsid w:val="3D5F25B0"/>
    <w:rsid w:val="3D61147F"/>
    <w:rsid w:val="3D8B5E5F"/>
    <w:rsid w:val="3DC950E2"/>
    <w:rsid w:val="3DE17504"/>
    <w:rsid w:val="3E210B81"/>
    <w:rsid w:val="3EA20557"/>
    <w:rsid w:val="3EA82A4C"/>
    <w:rsid w:val="3EAC0549"/>
    <w:rsid w:val="3ED616A5"/>
    <w:rsid w:val="3F073AB6"/>
    <w:rsid w:val="3F3E4515"/>
    <w:rsid w:val="3FAD196A"/>
    <w:rsid w:val="3FE61EE5"/>
    <w:rsid w:val="40010245"/>
    <w:rsid w:val="400A0257"/>
    <w:rsid w:val="406508EE"/>
    <w:rsid w:val="4068578D"/>
    <w:rsid w:val="408D6263"/>
    <w:rsid w:val="40B5786F"/>
    <w:rsid w:val="40E9393E"/>
    <w:rsid w:val="41086485"/>
    <w:rsid w:val="412B0DA3"/>
    <w:rsid w:val="415573C2"/>
    <w:rsid w:val="41562860"/>
    <w:rsid w:val="416627DB"/>
    <w:rsid w:val="41786157"/>
    <w:rsid w:val="41887D25"/>
    <w:rsid w:val="41B40CEE"/>
    <w:rsid w:val="4299604D"/>
    <w:rsid w:val="431636FE"/>
    <w:rsid w:val="43732703"/>
    <w:rsid w:val="43BF4F41"/>
    <w:rsid w:val="43C663D5"/>
    <w:rsid w:val="43E077BD"/>
    <w:rsid w:val="43EB55D6"/>
    <w:rsid w:val="43EF0F7A"/>
    <w:rsid w:val="43F22A80"/>
    <w:rsid w:val="44395162"/>
    <w:rsid w:val="44613685"/>
    <w:rsid w:val="446875D8"/>
    <w:rsid w:val="44864388"/>
    <w:rsid w:val="44DE7A3F"/>
    <w:rsid w:val="44E03403"/>
    <w:rsid w:val="45E9561A"/>
    <w:rsid w:val="45F52E3E"/>
    <w:rsid w:val="465D7AFE"/>
    <w:rsid w:val="467631A7"/>
    <w:rsid w:val="46900A5D"/>
    <w:rsid w:val="469E2CEC"/>
    <w:rsid w:val="46A1108D"/>
    <w:rsid w:val="46A447AE"/>
    <w:rsid w:val="46DA441E"/>
    <w:rsid w:val="46E53528"/>
    <w:rsid w:val="46E67E81"/>
    <w:rsid w:val="47566DB3"/>
    <w:rsid w:val="47691FCD"/>
    <w:rsid w:val="47BE62D6"/>
    <w:rsid w:val="48086987"/>
    <w:rsid w:val="48317291"/>
    <w:rsid w:val="48460EA5"/>
    <w:rsid w:val="485F7024"/>
    <w:rsid w:val="486B17CE"/>
    <w:rsid w:val="48712E23"/>
    <w:rsid w:val="487A687C"/>
    <w:rsid w:val="48D877F1"/>
    <w:rsid w:val="48E70666"/>
    <w:rsid w:val="493868DE"/>
    <w:rsid w:val="49716641"/>
    <w:rsid w:val="49766D0A"/>
    <w:rsid w:val="499910A3"/>
    <w:rsid w:val="49C173DC"/>
    <w:rsid w:val="49DB2741"/>
    <w:rsid w:val="49E25274"/>
    <w:rsid w:val="4A1C039D"/>
    <w:rsid w:val="4A3B039B"/>
    <w:rsid w:val="4A744D39"/>
    <w:rsid w:val="4B2125F4"/>
    <w:rsid w:val="4BEE4564"/>
    <w:rsid w:val="4BFC2CA0"/>
    <w:rsid w:val="4C0D473C"/>
    <w:rsid w:val="4C215BBF"/>
    <w:rsid w:val="4C2B26A3"/>
    <w:rsid w:val="4C6877E5"/>
    <w:rsid w:val="4C746CD3"/>
    <w:rsid w:val="4CEB717D"/>
    <w:rsid w:val="4CED04B3"/>
    <w:rsid w:val="4CF70F62"/>
    <w:rsid w:val="4D5F4F21"/>
    <w:rsid w:val="4D6A468D"/>
    <w:rsid w:val="4E307D23"/>
    <w:rsid w:val="4E3410BF"/>
    <w:rsid w:val="4E4E2DB0"/>
    <w:rsid w:val="4E716879"/>
    <w:rsid w:val="4EA86137"/>
    <w:rsid w:val="4ED2574D"/>
    <w:rsid w:val="4F1973FE"/>
    <w:rsid w:val="4F296E4F"/>
    <w:rsid w:val="4F5E55EF"/>
    <w:rsid w:val="4F65097A"/>
    <w:rsid w:val="4F706B7C"/>
    <w:rsid w:val="4F992A10"/>
    <w:rsid w:val="51016BC2"/>
    <w:rsid w:val="514315C5"/>
    <w:rsid w:val="514905BA"/>
    <w:rsid w:val="519D4FF3"/>
    <w:rsid w:val="51A05652"/>
    <w:rsid w:val="51C50160"/>
    <w:rsid w:val="51DA6CD8"/>
    <w:rsid w:val="51E21B4F"/>
    <w:rsid w:val="51E30280"/>
    <w:rsid w:val="52057D25"/>
    <w:rsid w:val="520842FA"/>
    <w:rsid w:val="520A750F"/>
    <w:rsid w:val="521B504A"/>
    <w:rsid w:val="52301F99"/>
    <w:rsid w:val="528F178B"/>
    <w:rsid w:val="52B16063"/>
    <w:rsid w:val="531F2F47"/>
    <w:rsid w:val="534F05FD"/>
    <w:rsid w:val="53996C9C"/>
    <w:rsid w:val="53AE54CE"/>
    <w:rsid w:val="53B65C90"/>
    <w:rsid w:val="53DE4748"/>
    <w:rsid w:val="541D020F"/>
    <w:rsid w:val="542F1F2F"/>
    <w:rsid w:val="547477D2"/>
    <w:rsid w:val="54ED4BB7"/>
    <w:rsid w:val="554C40E7"/>
    <w:rsid w:val="55A87B8A"/>
    <w:rsid w:val="55E11F18"/>
    <w:rsid w:val="55E552CD"/>
    <w:rsid w:val="56037112"/>
    <w:rsid w:val="56104BF2"/>
    <w:rsid w:val="56225A8C"/>
    <w:rsid w:val="564C5AEC"/>
    <w:rsid w:val="565C3ED9"/>
    <w:rsid w:val="566F6DC6"/>
    <w:rsid w:val="56A72206"/>
    <w:rsid w:val="56CA7FD0"/>
    <w:rsid w:val="56F7427C"/>
    <w:rsid w:val="572F507A"/>
    <w:rsid w:val="5745027B"/>
    <w:rsid w:val="57FA38D1"/>
    <w:rsid w:val="58471724"/>
    <w:rsid w:val="585A35FA"/>
    <w:rsid w:val="58632238"/>
    <w:rsid w:val="589622B8"/>
    <w:rsid w:val="59301824"/>
    <w:rsid w:val="59973FBC"/>
    <w:rsid w:val="5A0F2093"/>
    <w:rsid w:val="5A2B5EF5"/>
    <w:rsid w:val="5A3359D1"/>
    <w:rsid w:val="5A5D5255"/>
    <w:rsid w:val="5AF3495B"/>
    <w:rsid w:val="5AF90702"/>
    <w:rsid w:val="5B5165E9"/>
    <w:rsid w:val="5BCD39CD"/>
    <w:rsid w:val="5BDF23FE"/>
    <w:rsid w:val="5C1F59AF"/>
    <w:rsid w:val="5CE56A0F"/>
    <w:rsid w:val="5D031DE9"/>
    <w:rsid w:val="5D111ED1"/>
    <w:rsid w:val="5D213B6E"/>
    <w:rsid w:val="5D760AF8"/>
    <w:rsid w:val="5D7B6AED"/>
    <w:rsid w:val="5DD8141A"/>
    <w:rsid w:val="5DF65B28"/>
    <w:rsid w:val="5E041752"/>
    <w:rsid w:val="5E7068EA"/>
    <w:rsid w:val="5E7900F6"/>
    <w:rsid w:val="5EA875AD"/>
    <w:rsid w:val="5EF75988"/>
    <w:rsid w:val="5EFA3F2F"/>
    <w:rsid w:val="5F2B6DD2"/>
    <w:rsid w:val="5F76315F"/>
    <w:rsid w:val="5F7D3333"/>
    <w:rsid w:val="5F973364"/>
    <w:rsid w:val="5FF501F7"/>
    <w:rsid w:val="5FFB035A"/>
    <w:rsid w:val="5FFD0625"/>
    <w:rsid w:val="6019486A"/>
    <w:rsid w:val="607700AC"/>
    <w:rsid w:val="609F7CCD"/>
    <w:rsid w:val="60AB1444"/>
    <w:rsid w:val="60C138E3"/>
    <w:rsid w:val="60C96D47"/>
    <w:rsid w:val="60CE4B9A"/>
    <w:rsid w:val="60D6101E"/>
    <w:rsid w:val="60F06516"/>
    <w:rsid w:val="611A363E"/>
    <w:rsid w:val="61385890"/>
    <w:rsid w:val="61E71BB1"/>
    <w:rsid w:val="626D0FD2"/>
    <w:rsid w:val="62913FBC"/>
    <w:rsid w:val="62F1225B"/>
    <w:rsid w:val="631B255D"/>
    <w:rsid w:val="63413B51"/>
    <w:rsid w:val="634D130C"/>
    <w:rsid w:val="634F2F58"/>
    <w:rsid w:val="63A97597"/>
    <w:rsid w:val="63D82FED"/>
    <w:rsid w:val="64013CA9"/>
    <w:rsid w:val="64022588"/>
    <w:rsid w:val="6504510C"/>
    <w:rsid w:val="65314355"/>
    <w:rsid w:val="65DB0E1B"/>
    <w:rsid w:val="660B6D5A"/>
    <w:rsid w:val="66AD3BD4"/>
    <w:rsid w:val="67076AA5"/>
    <w:rsid w:val="671E0D74"/>
    <w:rsid w:val="671F7586"/>
    <w:rsid w:val="675B4F32"/>
    <w:rsid w:val="677333FD"/>
    <w:rsid w:val="679E28CC"/>
    <w:rsid w:val="67C45707"/>
    <w:rsid w:val="67DF459D"/>
    <w:rsid w:val="67E15CB8"/>
    <w:rsid w:val="681C4817"/>
    <w:rsid w:val="68362CE8"/>
    <w:rsid w:val="687436E1"/>
    <w:rsid w:val="68C60C3E"/>
    <w:rsid w:val="68DF16C0"/>
    <w:rsid w:val="690B5E38"/>
    <w:rsid w:val="696A5E49"/>
    <w:rsid w:val="69BF75B1"/>
    <w:rsid w:val="69E60D7D"/>
    <w:rsid w:val="6A225AEB"/>
    <w:rsid w:val="6A27352A"/>
    <w:rsid w:val="6A521B7F"/>
    <w:rsid w:val="6AA541B8"/>
    <w:rsid w:val="6B06459E"/>
    <w:rsid w:val="6B0A43D0"/>
    <w:rsid w:val="6B4C55F7"/>
    <w:rsid w:val="6B8020BC"/>
    <w:rsid w:val="6BB25D6B"/>
    <w:rsid w:val="6BEE02F1"/>
    <w:rsid w:val="6C590D0B"/>
    <w:rsid w:val="6C703CE3"/>
    <w:rsid w:val="6CEB6FF1"/>
    <w:rsid w:val="6D0E0130"/>
    <w:rsid w:val="6D1600AB"/>
    <w:rsid w:val="6D674ADC"/>
    <w:rsid w:val="6D8640E0"/>
    <w:rsid w:val="6D954C88"/>
    <w:rsid w:val="6DA45C50"/>
    <w:rsid w:val="6DB75658"/>
    <w:rsid w:val="6DDB57F1"/>
    <w:rsid w:val="6DE04C7B"/>
    <w:rsid w:val="6E2B1741"/>
    <w:rsid w:val="6E5C3762"/>
    <w:rsid w:val="6E9A7825"/>
    <w:rsid w:val="6EB6550C"/>
    <w:rsid w:val="6EED586D"/>
    <w:rsid w:val="6EFF0CDC"/>
    <w:rsid w:val="6F1C07F1"/>
    <w:rsid w:val="6F670F9B"/>
    <w:rsid w:val="6F836B9B"/>
    <w:rsid w:val="6FB206A4"/>
    <w:rsid w:val="6FB37990"/>
    <w:rsid w:val="6FC65FE7"/>
    <w:rsid w:val="6FD8633B"/>
    <w:rsid w:val="70043F21"/>
    <w:rsid w:val="70C96FB4"/>
    <w:rsid w:val="70FF16CD"/>
    <w:rsid w:val="710A2DB6"/>
    <w:rsid w:val="71CA525E"/>
    <w:rsid w:val="71E11ACA"/>
    <w:rsid w:val="71FD1FBB"/>
    <w:rsid w:val="72055089"/>
    <w:rsid w:val="720E247B"/>
    <w:rsid w:val="722441D4"/>
    <w:rsid w:val="72937C49"/>
    <w:rsid w:val="72981EE3"/>
    <w:rsid w:val="729D4CD2"/>
    <w:rsid w:val="72A61621"/>
    <w:rsid w:val="73241F11"/>
    <w:rsid w:val="732E067F"/>
    <w:rsid w:val="737450E0"/>
    <w:rsid w:val="73C56094"/>
    <w:rsid w:val="73F01AAF"/>
    <w:rsid w:val="73FD6BFE"/>
    <w:rsid w:val="74054476"/>
    <w:rsid w:val="742F38C4"/>
    <w:rsid w:val="74436497"/>
    <w:rsid w:val="745C5B34"/>
    <w:rsid w:val="7477425F"/>
    <w:rsid w:val="749D5963"/>
    <w:rsid w:val="74AB66DC"/>
    <w:rsid w:val="74C4154C"/>
    <w:rsid w:val="751A5F84"/>
    <w:rsid w:val="753044B5"/>
    <w:rsid w:val="755B06A7"/>
    <w:rsid w:val="756D528F"/>
    <w:rsid w:val="757F76BA"/>
    <w:rsid w:val="75841871"/>
    <w:rsid w:val="75847558"/>
    <w:rsid w:val="75937F0E"/>
    <w:rsid w:val="75956FFF"/>
    <w:rsid w:val="75A27CE1"/>
    <w:rsid w:val="75B173B4"/>
    <w:rsid w:val="75BE6B48"/>
    <w:rsid w:val="75EC58E3"/>
    <w:rsid w:val="761B0162"/>
    <w:rsid w:val="764E4CFF"/>
    <w:rsid w:val="76B82D78"/>
    <w:rsid w:val="76DD52D3"/>
    <w:rsid w:val="76EF68C0"/>
    <w:rsid w:val="76F42856"/>
    <w:rsid w:val="775728B8"/>
    <w:rsid w:val="776F00F4"/>
    <w:rsid w:val="777C60C6"/>
    <w:rsid w:val="77AA2D01"/>
    <w:rsid w:val="77B57DC4"/>
    <w:rsid w:val="77C440BD"/>
    <w:rsid w:val="781F4E85"/>
    <w:rsid w:val="78327529"/>
    <w:rsid w:val="78FE477C"/>
    <w:rsid w:val="790B5225"/>
    <w:rsid w:val="791E70A8"/>
    <w:rsid w:val="79827885"/>
    <w:rsid w:val="79B40FC6"/>
    <w:rsid w:val="79E4589E"/>
    <w:rsid w:val="7A1510B8"/>
    <w:rsid w:val="7A5E2FEC"/>
    <w:rsid w:val="7A6C3DD2"/>
    <w:rsid w:val="7A8C6BB3"/>
    <w:rsid w:val="7AA830C2"/>
    <w:rsid w:val="7AC32586"/>
    <w:rsid w:val="7ACF2137"/>
    <w:rsid w:val="7AED1DBD"/>
    <w:rsid w:val="7B043560"/>
    <w:rsid w:val="7B222E8A"/>
    <w:rsid w:val="7B5F390F"/>
    <w:rsid w:val="7B947CF5"/>
    <w:rsid w:val="7BA57EF4"/>
    <w:rsid w:val="7BAE073C"/>
    <w:rsid w:val="7BE27EFF"/>
    <w:rsid w:val="7C5F2DFD"/>
    <w:rsid w:val="7CDE1DBD"/>
    <w:rsid w:val="7CEF7BF1"/>
    <w:rsid w:val="7CF57CC2"/>
    <w:rsid w:val="7D186D30"/>
    <w:rsid w:val="7D354082"/>
    <w:rsid w:val="7D83538D"/>
    <w:rsid w:val="7D8A5F25"/>
    <w:rsid w:val="7D943A85"/>
    <w:rsid w:val="7DB0448C"/>
    <w:rsid w:val="7DBD7462"/>
    <w:rsid w:val="7DD20489"/>
    <w:rsid w:val="7DEA7F0D"/>
    <w:rsid w:val="7E5F9AA4"/>
    <w:rsid w:val="7E906E20"/>
    <w:rsid w:val="7F28398E"/>
    <w:rsid w:val="7F6A4CF4"/>
    <w:rsid w:val="7F835D03"/>
    <w:rsid w:val="7FBE2FE4"/>
    <w:rsid w:val="7FF73F06"/>
    <w:rsid w:val="8FFC8888"/>
    <w:rsid w:val="A7F73C99"/>
    <w:rsid w:val="BDAF3020"/>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69</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2023-08-03T08:58:00Z</cp:lastPrinted>
  <dcterms:modified xsi:type="dcterms:W3CDTF">2025-11-06T11:14:00Z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