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墨脱县</w:t>
      </w:r>
      <w:r>
        <w:rPr>
          <w:rFonts w:hint="eastAsia" w:asciiTheme="majorEastAsia" w:hAnsiTheme="majorEastAsia" w:eastAsiaTheme="majorEastAsia" w:cstheme="majorEastAsia"/>
          <w:b/>
          <w:bCs/>
          <w:color w:val="auto"/>
          <w:sz w:val="44"/>
          <w:szCs w:val="44"/>
          <w:lang w:val="en-US" w:eastAsia="zh-CN"/>
        </w:rPr>
        <w:t>达木乡小学</w:t>
      </w:r>
      <w:r>
        <w:rPr>
          <w:rFonts w:hint="eastAsia" w:asciiTheme="majorEastAsia" w:hAnsiTheme="majorEastAsia" w:eastAsiaTheme="majorEastAsia" w:cstheme="majorEastAsia"/>
          <w:b/>
          <w:bCs/>
          <w:color w:val="auto"/>
          <w:sz w:val="44"/>
          <w:szCs w:val="44"/>
        </w:rPr>
        <w:t>2024年度部门决算公开</w:t>
      </w:r>
    </w:p>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7"/>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32433_WPSOffice_Level1"/>
      <w:bookmarkStart w:id="3" w:name="_Toc23465_WPSOffice_Level1"/>
      <w:bookmarkStart w:id="4" w:name="_Toc22941_WPSOffice_Level1"/>
      <w:bookmarkStart w:id="5" w:name="_Toc10049_WPSOffice_Level1"/>
      <w:bookmarkStart w:id="6" w:name="_Toc10720_WPSOffice_Level1"/>
      <w:bookmarkStart w:id="7" w:name="_Toc1704_WPSOffice_Level1"/>
      <w:bookmarkStart w:id="8" w:name="_Toc24238_WPSOffice_Level2"/>
      <w:bookmarkStart w:id="9" w:name="_Toc20205_WPSOffice_Level2"/>
      <w:bookmarkStart w:id="10" w:name="_Toc32622_WPSOffice_Level2"/>
      <w:bookmarkStart w:id="11" w:name="_Toc20274_WPSOffice_Level2"/>
      <w:bookmarkStart w:id="12" w:name="_Toc26580_WPSOffice_Level2"/>
      <w:bookmarkStart w:id="13" w:name="_Toc14159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spacing w:line="578" w:lineRule="exact"/>
        <w:ind w:firstLine="640" w:firstLineChars="200"/>
        <w:rPr>
          <w:rFonts w:hint="eastAsia" w:ascii="楷体" w:hAnsi="楷体" w:eastAsia="楷体" w:cs="楷体"/>
          <w:color w:val="auto"/>
          <w:sz w:val="32"/>
          <w:szCs w:val="32"/>
          <w:lang w:eastAsia="zh-CN"/>
        </w:rPr>
      </w:pPr>
      <w:r>
        <w:rPr>
          <w:rFonts w:hint="eastAsia" w:ascii="黑体" w:hAnsi="黑体" w:eastAsia="黑体" w:cs="黑体"/>
          <w:color w:val="auto"/>
          <w:sz w:val="32"/>
          <w:szCs w:val="32"/>
        </w:rPr>
        <w:t>一、部门</w:t>
      </w:r>
      <w:bookmarkEnd w:id="8"/>
      <w:r>
        <w:rPr>
          <w:rFonts w:hint="eastAsia" w:ascii="黑体" w:hAnsi="黑体" w:eastAsia="黑体" w:cs="黑体"/>
          <w:color w:val="auto"/>
          <w:sz w:val="32"/>
          <w:szCs w:val="32"/>
        </w:rPr>
        <w:t>（单位）职责</w:t>
      </w:r>
      <w:bookmarkEnd w:id="9"/>
      <w:bookmarkEnd w:id="10"/>
      <w:bookmarkEnd w:id="11"/>
      <w:bookmarkEnd w:id="12"/>
      <w:bookmarkEnd w:id="13"/>
      <w:bookmarkStart w:id="14" w:name="_Toc24059_WPSOffice_Level2"/>
      <w:bookmarkStart w:id="15" w:name="_Toc17796_WPSOffice_Level2"/>
      <w:bookmarkStart w:id="16" w:name="_Toc4833_WPSOffice_Level2"/>
      <w:bookmarkStart w:id="17" w:name="_Toc24474_WPSOffice_Level2"/>
      <w:bookmarkStart w:id="18" w:name="_Toc6572_WPSOffice_Level2"/>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1.全面贯彻执行党和国家的教育方针、政策、法规，自觉抵制各种违反教育方针、政策、法规的倾向，实施素质教育。坚持社会主义办学方向，努力培养德、智、体全面发展的社会主义事业的建设者和接班人。按</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"https://www.baidu.com/s?wd=%E6%95%99%E8%82%B2%E8%A7%84%E5%BE%8B&amp;tn=SE_PcZhidaonwhc_ngpagmjz&amp;rsv_dl=gh_pc_zhidao"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教育规律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办学，不断提高教育质量。</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2.做好基础教育，负责实施义务教育文化，素质教育。</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3.根据教育规律、组织制定学校发展的远景规划、近期目标、学年和学期各项工作计划以及工作指标并组织实施。</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4.制定和健全各项规章制度，规范办学行为，培养良好校风，逐步实现管理决策的科学化，管理方法的定量化和管理手段的现代化。</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5.负责教师队伍建设工作，决定校内教职工的工作安排，组织对教职工进行考核、实施奖惩。</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6.领导和组织学校的思想政治工作，把德育工作放在首位。</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7.研究思想政治工作的要求、内容、方法和规律，不断加强学生的思想政治、法律纪律和道德品质教育以及做好管理工作。</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8.教育全体职工做到教书育人、管理育人、服务育人、搞好学校、社会、家庭三结合教育。</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9.加强对财务工作的领导，正确使用各项经费，不断改善办</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条件，强化安全工作管理，创造良好的育人环境。</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10.加强与党支部的合作，主动接受学校党组织的监督，搞好领导班子的团结和协作。</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11.依靠群众办学，实行民主管理和民主监督，定期向家长报告工作，充分发挥家长参与学校民主管理和民主监督的作用。</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12.主持学校与学生家长及社会的联系工作和外来工作，搞好校际间的交往，做好与社会各界的联系工作，争取各方面力量对学校的支持。</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13.组织教师的业务学习，</w:t>
      </w:r>
      <w:r>
        <w:rPr>
          <w:rFonts w:hint="eastAsia" w:ascii="仿宋_GB2312" w:hAnsi="仿宋_GB2312" w:eastAsia="仿宋_GB2312" w:cs="仿宋_GB2312"/>
          <w:sz w:val="32"/>
          <w:szCs w:val="32"/>
          <w:lang w:val="en-US" w:eastAsia="zh-CN"/>
        </w:rPr>
        <w:t>制定</w:t>
      </w:r>
      <w:r>
        <w:rPr>
          <w:rFonts w:hint="eastAsia" w:ascii="仿宋_GB2312" w:hAnsi="仿宋_GB2312" w:eastAsia="仿宋_GB2312" w:cs="仿宋_GB2312"/>
          <w:sz w:val="32"/>
          <w:szCs w:val="32"/>
        </w:rPr>
        <w:t>教师进修规划，定期检查执行情况，做好师资力量的安排和调整工作。</w:t>
      </w:r>
    </w:p>
    <w:p>
      <w:p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二、机构设置</w:t>
      </w:r>
      <w:bookmarkEnd w:id="14"/>
      <w:bookmarkEnd w:id="15"/>
      <w:bookmarkEnd w:id="16"/>
      <w:bookmarkEnd w:id="17"/>
      <w:bookmarkEnd w:id="18"/>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bookmarkStart w:id="19" w:name="_Toc30690_WPSOffice_Level1"/>
      <w:bookmarkStart w:id="20" w:name="_Toc8164_WPSOffice_Level1"/>
      <w:bookmarkStart w:id="21" w:name="_Toc6234_WPSOffice_Level1"/>
      <w:bookmarkStart w:id="22" w:name="_Toc15521_WPSOffice_Level1"/>
      <w:bookmarkStart w:id="23" w:name="_Toc30451_WPSOffice_Level1"/>
      <w:bookmarkStart w:id="24" w:name="_Toc28253_WPSOffice_Level1"/>
      <w:bookmarkStart w:id="25" w:name="_Toc32472_WPSOffice_Level2"/>
      <w:bookmarkStart w:id="26" w:name="_Toc6211_WPSOffice_Level2"/>
      <w:bookmarkStart w:id="27" w:name="_Toc11518_WPSOffice_Level2"/>
      <w:bookmarkStart w:id="28" w:name="_Toc32695_WPSOffice_Level2"/>
      <w:bookmarkStart w:id="29" w:name="_Toc8867_WPSOffice_Level2"/>
      <w:bookmarkStart w:id="30" w:name="_Toc4029_WPSOffice_Level2"/>
      <w:r>
        <w:rPr>
          <w:rFonts w:hint="eastAsia" w:ascii="仿宋_GB2312" w:hAnsi="仿宋_GB2312" w:eastAsia="仿宋_GB2312" w:cs="仿宋_GB2312"/>
          <w:sz w:val="32"/>
          <w:szCs w:val="32"/>
        </w:rPr>
        <w:t>达木乡小学设有校长办、党支部、教务处、德育处、总务处、少队室、信教办、医务室、少年宫</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p>
    <w:p>
      <w:pPr>
        <w:numPr>
          <w:ilvl w:val="0"/>
          <w:numId w:val="2"/>
        </w:numPr>
        <w:spacing w:line="578" w:lineRule="exact"/>
        <w:jc w:val="center"/>
        <w:rPr>
          <w:rFonts w:hint="eastAsia" w:ascii="黑体" w:hAnsi="ˎ̥" w:eastAsia="黑体"/>
          <w:color w:val="auto"/>
          <w:sz w:val="32"/>
          <w:szCs w:val="32"/>
        </w:rPr>
        <w:sectPr>
          <w:footerReference r:id="rId3" w:type="default"/>
          <w:footerReference r:id="rId4" w:type="even"/>
          <w:pgSz w:w="11906" w:h="16838"/>
          <w:pgMar w:top="2098" w:right="1474" w:bottom="1984" w:left="1587" w:header="851" w:footer="992" w:gutter="0"/>
          <w:cols w:space="720" w:num="1"/>
          <w:docGrid w:type="lines" w:linePitch="312" w:charSpace="0"/>
        </w:sectPr>
      </w:pPr>
      <w:r>
        <w:rPr>
          <w:rFonts w:hint="eastAsia" w:ascii="黑体" w:hAnsi="ˎ̥" w:eastAsia="黑体"/>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bookmarkEnd w:id="25"/>
    <w:bookmarkEnd w:id="26"/>
    <w:bookmarkEnd w:id="27"/>
    <w:bookmarkEnd w:id="28"/>
    <w:bookmarkEnd w:id="29"/>
    <w:bookmarkEnd w:id="30"/>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94"/>
        <w:gridCol w:w="894"/>
        <w:gridCol w:w="894"/>
        <w:gridCol w:w="899"/>
        <w:gridCol w:w="894"/>
        <w:gridCol w:w="1449"/>
        <w:gridCol w:w="1446"/>
        <w:gridCol w:w="894"/>
        <w:gridCol w:w="894"/>
        <w:gridCol w:w="900"/>
        <w:gridCol w:w="895"/>
        <w:gridCol w:w="1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5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bookmarkStart w:id="31" w:name="_Toc23139_WPSOffice_Level2"/>
            <w:bookmarkStart w:id="32" w:name="_Toc28622_WPSOffice_Level2"/>
            <w:bookmarkStart w:id="33" w:name="_Toc30334_WPSOffice_Level2"/>
            <w:bookmarkStart w:id="34" w:name="_Toc26621_WPSOffice_Level2"/>
            <w:bookmarkStart w:id="35" w:name="_Toc14349_WPSOffice_Level2"/>
            <w:bookmarkStart w:id="36" w:name="_Toc25608_WPSOffice_Level2"/>
            <w:r>
              <w:rPr>
                <w:rFonts w:hint="eastAsia" w:ascii="宋体" w:hAnsi="宋体" w:eastAsia="宋体" w:cs="宋体"/>
                <w:b/>
                <w:i w:val="0"/>
                <w:color w:val="000000"/>
                <w:kern w:val="0"/>
                <w:sz w:val="20"/>
                <w:szCs w:val="20"/>
                <w:u w:val="none"/>
                <w:lang w:val="en-US" w:eastAsia="zh-CN" w:bidi="ar"/>
              </w:rPr>
              <w:t>附件1-1</w:t>
            </w: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6"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6"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11"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6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6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11"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2319" w:type="pct"/>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部门(单位)：墨脱县达木乡小学</w:t>
            </w:r>
          </w:p>
        </w:tc>
        <w:tc>
          <w:tcPr>
            <w:tcW w:w="566"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50" w:type="pct"/>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711"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231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w:t>
            </w:r>
          </w:p>
        </w:tc>
        <w:tc>
          <w:tcPr>
            <w:tcW w:w="268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1,308.42</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三、国有资本经营预算财政拨款收入</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四、上级补助收入</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五、事业收入</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六、经营收入</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七、附属单位上缴收入</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八、其他收入</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1,309.64</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使用非财政拨款结余（含专用结余）</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35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56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1,309.64</w:t>
            </w:r>
          </w:p>
        </w:tc>
        <w:tc>
          <w:tcPr>
            <w:tcW w:w="1618" w:type="pct"/>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35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711"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5000" w:type="pct"/>
            <w:gridSpan w:val="12"/>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注：1.本表反映部门（单位）本年度的总收支和年末结转结余情况。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5000" w:type="pct"/>
            <w:gridSpan w:val="12"/>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spacing w:line="578" w:lineRule="exact"/>
        <w:rPr>
          <w:rFonts w:hint="eastAsia" w:ascii="黑体" w:hAnsi="黑体" w:eastAsia="黑体" w:cs="黑体"/>
          <w:color w:val="auto"/>
          <w:sz w:val="32"/>
          <w:szCs w:val="32"/>
        </w:rPr>
        <w:sectPr>
          <w:pgSz w:w="16838" w:h="11906" w:orient="landscape"/>
          <w:pgMar w:top="1587" w:right="2098" w:bottom="1474" w:left="1984" w:header="851" w:footer="992" w:gutter="0"/>
          <w:cols w:space="720" w:num="1"/>
          <w:docGrid w:type="lines" w:linePitch="312" w:charSpace="0"/>
        </w:sectPr>
      </w:pPr>
    </w:p>
    <w:tbl>
      <w:tblPr>
        <w:tblStyle w:val="9"/>
        <w:tblW w:w="50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78"/>
        <w:gridCol w:w="297"/>
        <w:gridCol w:w="331"/>
        <w:gridCol w:w="2070"/>
        <w:gridCol w:w="1485"/>
        <w:gridCol w:w="1500"/>
        <w:gridCol w:w="1619"/>
        <w:gridCol w:w="1135"/>
        <w:gridCol w:w="1011"/>
        <w:gridCol w:w="1724"/>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51"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附件1-2</w:t>
            </w:r>
          </w:p>
        </w:tc>
        <w:tc>
          <w:tcPr>
            <w:tcW w:w="80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7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8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2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4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收入决算公开表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0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0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7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8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2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4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58"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73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部门(单位)：墨脱县达木乡小学</w:t>
            </w:r>
          </w:p>
        </w:tc>
        <w:tc>
          <w:tcPr>
            <w:tcW w:w="1209"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440"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392"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668"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58"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5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8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财政拨款收入</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上级补助收入</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事业收入</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经营收入</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附属单位上缴收入</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5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2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8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5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5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1,309.64</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1,309.64</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1,005.66</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1,005.66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1,005.66</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1,005.66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23.88</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23.88</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981.78</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981.78</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121.09</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121.09</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121.09</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121.09</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121.09</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121.09</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58.31</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58.31</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58.31</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58.31</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58.31</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58.31</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123.37</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123.37</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123.37</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123.37</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80.26</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80.26</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43.11</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43.11</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22960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彩票公益金安排的支出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2296004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用于教育事业的彩票公益金支出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注：本表反映部门（单位）本年度取得的各项收入情况。</w:t>
            </w:r>
          </w:p>
        </w:tc>
      </w:tr>
    </w:tbl>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7"/>
        <w:gridCol w:w="47"/>
        <w:gridCol w:w="185"/>
        <w:gridCol w:w="172"/>
        <w:gridCol w:w="54"/>
        <w:gridCol w:w="72"/>
        <w:gridCol w:w="264"/>
        <w:gridCol w:w="361"/>
        <w:gridCol w:w="695"/>
        <w:gridCol w:w="87"/>
        <w:gridCol w:w="621"/>
        <w:gridCol w:w="136"/>
        <w:gridCol w:w="318"/>
        <w:gridCol w:w="383"/>
        <w:gridCol w:w="678"/>
        <w:gridCol w:w="66"/>
        <w:gridCol w:w="7"/>
        <w:gridCol w:w="662"/>
        <w:gridCol w:w="23"/>
        <w:gridCol w:w="588"/>
        <w:gridCol w:w="115"/>
        <w:gridCol w:w="13"/>
        <w:gridCol w:w="682"/>
        <w:gridCol w:w="7"/>
        <w:gridCol w:w="433"/>
        <w:gridCol w:w="93"/>
        <w:gridCol w:w="243"/>
        <w:gridCol w:w="220"/>
        <w:gridCol w:w="575"/>
        <w:gridCol w:w="5"/>
        <w:gridCol w:w="560"/>
        <w:gridCol w:w="235"/>
        <w:gridCol w:w="587"/>
        <w:gridCol w:w="335"/>
        <w:gridCol w:w="189"/>
        <w:gridCol w:w="603"/>
        <w:gridCol w:w="97"/>
        <w:gridCol w:w="687"/>
        <w:gridCol w:w="72"/>
        <w:gridCol w:w="1209"/>
        <w:gridCol w:w="133"/>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3" w:type="pct"/>
          <w:trHeight w:val="275" w:hRule="atLeast"/>
        </w:trPr>
        <w:tc>
          <w:tcPr>
            <w:tcW w:w="413"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附件1-3</w:t>
            </w:r>
          </w:p>
        </w:tc>
        <w:tc>
          <w:tcPr>
            <w:tcW w:w="1311" w:type="pct"/>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498"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525"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406"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543"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479"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767"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3" w:type="pct"/>
          <w:trHeight w:val="403" w:hRule="atLeast"/>
        </w:trPr>
        <w:tc>
          <w:tcPr>
            <w:tcW w:w="4946" w:type="pct"/>
            <w:gridSpan w:val="40"/>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3" w:type="pct"/>
          <w:trHeight w:val="288" w:hRule="atLeast"/>
        </w:trPr>
        <w:tc>
          <w:tcPr>
            <w:tcW w:w="1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39"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50"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311" w:type="pct"/>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498"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525"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406"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543"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479"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767"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3" w:type="pct"/>
          <w:trHeight w:val="288" w:hRule="atLeast"/>
        </w:trPr>
        <w:tc>
          <w:tcPr>
            <w:tcW w:w="2222" w:type="pct"/>
            <w:gridSpan w:val="2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部门(单位)：墨脱县达木乡小学</w:t>
            </w:r>
          </w:p>
        </w:tc>
        <w:tc>
          <w:tcPr>
            <w:tcW w:w="525" w:type="pct"/>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406"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0"/>
                <w:szCs w:val="20"/>
                <w:u w:val="none"/>
              </w:rPr>
            </w:pPr>
          </w:p>
        </w:tc>
        <w:tc>
          <w:tcPr>
            <w:tcW w:w="543"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i w:val="0"/>
                <w:color w:val="000000"/>
                <w:sz w:val="20"/>
                <w:szCs w:val="20"/>
                <w:u w:val="none"/>
              </w:rPr>
            </w:pPr>
          </w:p>
        </w:tc>
        <w:tc>
          <w:tcPr>
            <w:tcW w:w="479"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i w:val="0"/>
                <w:color w:val="000000"/>
                <w:sz w:val="20"/>
                <w:szCs w:val="20"/>
                <w:u w:val="none"/>
              </w:rPr>
            </w:pPr>
          </w:p>
        </w:tc>
        <w:tc>
          <w:tcPr>
            <w:tcW w:w="767"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3" w:type="pct"/>
          <w:trHeight w:val="323" w:hRule="atLeast"/>
        </w:trPr>
        <w:tc>
          <w:tcPr>
            <w:tcW w:w="413" w:type="pct"/>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1311" w:type="pct"/>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49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25" w:type="pct"/>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4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543"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上缴上级支出</w:t>
            </w:r>
          </w:p>
        </w:tc>
        <w:tc>
          <w:tcPr>
            <w:tcW w:w="479"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经营支出</w:t>
            </w:r>
          </w:p>
        </w:tc>
        <w:tc>
          <w:tcPr>
            <w:tcW w:w="76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53" w:type="pct"/>
          <w:trHeight w:val="323" w:hRule="atLeast"/>
        </w:trPr>
        <w:tc>
          <w:tcPr>
            <w:tcW w:w="413"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11" w:type="pct"/>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25"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43"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79"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6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3" w:type="pct"/>
          <w:trHeight w:val="323" w:hRule="atLeast"/>
        </w:trPr>
        <w:tc>
          <w:tcPr>
            <w:tcW w:w="122"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39"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50" w:type="pct"/>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1311"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49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25"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4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47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3" w:type="pct"/>
          <w:trHeight w:val="323" w:hRule="atLeast"/>
        </w:trPr>
        <w:tc>
          <w:tcPr>
            <w:tcW w:w="122"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9"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0"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11"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9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1,309.64</w:t>
            </w:r>
          </w:p>
        </w:tc>
        <w:tc>
          <w:tcPr>
            <w:tcW w:w="525"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1,145.46</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164.19</w:t>
            </w:r>
          </w:p>
        </w:tc>
        <w:tc>
          <w:tcPr>
            <w:tcW w:w="54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3" w:type="pct"/>
          <w:trHeight w:val="240" w:hRule="atLeast"/>
        </w:trPr>
        <w:tc>
          <w:tcPr>
            <w:tcW w:w="413"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311" w:type="pct"/>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49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1,005.66</w:t>
            </w:r>
          </w:p>
        </w:tc>
        <w:tc>
          <w:tcPr>
            <w:tcW w:w="525"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842.69</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162.97</w:t>
            </w:r>
          </w:p>
        </w:tc>
        <w:tc>
          <w:tcPr>
            <w:tcW w:w="54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3" w:type="pct"/>
          <w:trHeight w:val="240" w:hRule="atLeast"/>
        </w:trPr>
        <w:tc>
          <w:tcPr>
            <w:tcW w:w="413"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311" w:type="pct"/>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49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1,005.66</w:t>
            </w:r>
          </w:p>
        </w:tc>
        <w:tc>
          <w:tcPr>
            <w:tcW w:w="525"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842.69</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162.97</w:t>
            </w:r>
          </w:p>
        </w:tc>
        <w:tc>
          <w:tcPr>
            <w:tcW w:w="54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3" w:type="pct"/>
          <w:trHeight w:val="240" w:hRule="atLeast"/>
        </w:trPr>
        <w:tc>
          <w:tcPr>
            <w:tcW w:w="413"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1311" w:type="pct"/>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w:t>
            </w:r>
          </w:p>
        </w:tc>
        <w:tc>
          <w:tcPr>
            <w:tcW w:w="49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23.88</w:t>
            </w:r>
          </w:p>
        </w:tc>
        <w:tc>
          <w:tcPr>
            <w:tcW w:w="525"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7.34</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16.55</w:t>
            </w:r>
          </w:p>
        </w:tc>
        <w:tc>
          <w:tcPr>
            <w:tcW w:w="54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3" w:type="pct"/>
          <w:trHeight w:val="240" w:hRule="atLeast"/>
        </w:trPr>
        <w:tc>
          <w:tcPr>
            <w:tcW w:w="413"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1311" w:type="pct"/>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w:t>
            </w:r>
          </w:p>
        </w:tc>
        <w:tc>
          <w:tcPr>
            <w:tcW w:w="49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981.78</w:t>
            </w:r>
          </w:p>
        </w:tc>
        <w:tc>
          <w:tcPr>
            <w:tcW w:w="525"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835.35</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146.42</w:t>
            </w:r>
          </w:p>
        </w:tc>
        <w:tc>
          <w:tcPr>
            <w:tcW w:w="54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3" w:type="pct"/>
          <w:trHeight w:val="240" w:hRule="atLeast"/>
        </w:trPr>
        <w:tc>
          <w:tcPr>
            <w:tcW w:w="413"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1311" w:type="pct"/>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49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121.09</w:t>
            </w:r>
          </w:p>
        </w:tc>
        <w:tc>
          <w:tcPr>
            <w:tcW w:w="525"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121.09</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3" w:type="pct"/>
          <w:trHeight w:val="240" w:hRule="atLeast"/>
        </w:trPr>
        <w:tc>
          <w:tcPr>
            <w:tcW w:w="413"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1311" w:type="pct"/>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49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121.09</w:t>
            </w:r>
          </w:p>
        </w:tc>
        <w:tc>
          <w:tcPr>
            <w:tcW w:w="525"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121.09</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3" w:type="pct"/>
          <w:trHeight w:val="240" w:hRule="atLeast"/>
        </w:trPr>
        <w:tc>
          <w:tcPr>
            <w:tcW w:w="413"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1311" w:type="pct"/>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49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121.09</w:t>
            </w:r>
          </w:p>
        </w:tc>
        <w:tc>
          <w:tcPr>
            <w:tcW w:w="525"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121.09</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3" w:type="pct"/>
          <w:trHeight w:val="240" w:hRule="atLeast"/>
        </w:trPr>
        <w:tc>
          <w:tcPr>
            <w:tcW w:w="413"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1311" w:type="pct"/>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49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58.31</w:t>
            </w:r>
          </w:p>
        </w:tc>
        <w:tc>
          <w:tcPr>
            <w:tcW w:w="525"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58.31</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3" w:type="pct"/>
          <w:trHeight w:val="240" w:hRule="atLeast"/>
        </w:trPr>
        <w:tc>
          <w:tcPr>
            <w:tcW w:w="413"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1311" w:type="pct"/>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49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58.31</w:t>
            </w:r>
          </w:p>
        </w:tc>
        <w:tc>
          <w:tcPr>
            <w:tcW w:w="525"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58.31</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3" w:type="pct"/>
          <w:trHeight w:val="240" w:hRule="atLeast"/>
        </w:trPr>
        <w:tc>
          <w:tcPr>
            <w:tcW w:w="413"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1311" w:type="pct"/>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49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58.31</w:t>
            </w:r>
          </w:p>
        </w:tc>
        <w:tc>
          <w:tcPr>
            <w:tcW w:w="525"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58.31</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3" w:type="pct"/>
          <w:trHeight w:val="240" w:hRule="atLeast"/>
        </w:trPr>
        <w:tc>
          <w:tcPr>
            <w:tcW w:w="413"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1311" w:type="pct"/>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49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123.37</w:t>
            </w:r>
          </w:p>
        </w:tc>
        <w:tc>
          <w:tcPr>
            <w:tcW w:w="525"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123.37</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3" w:type="pct"/>
          <w:trHeight w:val="240" w:hRule="atLeast"/>
        </w:trPr>
        <w:tc>
          <w:tcPr>
            <w:tcW w:w="413"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1311" w:type="pct"/>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49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123.37</w:t>
            </w:r>
          </w:p>
        </w:tc>
        <w:tc>
          <w:tcPr>
            <w:tcW w:w="525"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123.37</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3" w:type="pct"/>
          <w:trHeight w:val="240" w:hRule="atLeast"/>
        </w:trPr>
        <w:tc>
          <w:tcPr>
            <w:tcW w:w="413"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1311" w:type="pct"/>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49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80.26</w:t>
            </w:r>
          </w:p>
        </w:tc>
        <w:tc>
          <w:tcPr>
            <w:tcW w:w="525"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80.26</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3" w:type="pct"/>
          <w:trHeight w:val="240" w:hRule="atLeast"/>
        </w:trPr>
        <w:tc>
          <w:tcPr>
            <w:tcW w:w="413"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1311" w:type="pct"/>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49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43.11</w:t>
            </w:r>
          </w:p>
        </w:tc>
        <w:tc>
          <w:tcPr>
            <w:tcW w:w="525"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43.11</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3" w:type="pct"/>
          <w:trHeight w:val="240" w:hRule="atLeast"/>
        </w:trPr>
        <w:tc>
          <w:tcPr>
            <w:tcW w:w="413"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w:t>
            </w:r>
          </w:p>
        </w:tc>
        <w:tc>
          <w:tcPr>
            <w:tcW w:w="1311" w:type="pct"/>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49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w:t>
            </w:r>
          </w:p>
        </w:tc>
        <w:tc>
          <w:tcPr>
            <w:tcW w:w="525"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w:t>
            </w:r>
          </w:p>
        </w:tc>
        <w:tc>
          <w:tcPr>
            <w:tcW w:w="54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3" w:type="pct"/>
          <w:trHeight w:val="240" w:hRule="atLeast"/>
        </w:trPr>
        <w:tc>
          <w:tcPr>
            <w:tcW w:w="413"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22960</w:t>
            </w:r>
          </w:p>
        </w:tc>
        <w:tc>
          <w:tcPr>
            <w:tcW w:w="1311" w:type="pct"/>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彩票公益金安排的支出</w:t>
            </w:r>
          </w:p>
        </w:tc>
        <w:tc>
          <w:tcPr>
            <w:tcW w:w="49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w:t>
            </w:r>
          </w:p>
        </w:tc>
        <w:tc>
          <w:tcPr>
            <w:tcW w:w="525"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0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w:t>
            </w:r>
          </w:p>
        </w:tc>
        <w:tc>
          <w:tcPr>
            <w:tcW w:w="54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3" w:type="pct"/>
          <w:trHeight w:val="240" w:hRule="atLeast"/>
        </w:trPr>
        <w:tc>
          <w:tcPr>
            <w:tcW w:w="413" w:type="pct"/>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2296004</w:t>
            </w:r>
          </w:p>
        </w:tc>
        <w:tc>
          <w:tcPr>
            <w:tcW w:w="1311" w:type="pct"/>
            <w:gridSpan w:val="10"/>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用于教育事业的彩票公益金支出</w:t>
            </w:r>
          </w:p>
        </w:tc>
        <w:tc>
          <w:tcPr>
            <w:tcW w:w="498" w:type="pct"/>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525" w:type="pct"/>
            <w:gridSpan w:val="6"/>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6" w:type="pct"/>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543" w:type="pct"/>
            <w:gridSpan w:val="4"/>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4"/>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67" w:type="pct"/>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3" w:type="pct"/>
          <w:trHeight w:val="312" w:hRule="atLeast"/>
        </w:trPr>
        <w:tc>
          <w:tcPr>
            <w:tcW w:w="4946" w:type="pct"/>
            <w:gridSpan w:val="40"/>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注：本表反映部门（单位）本年度取得的各项支出情况。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282"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附件1-4</w:t>
            </w:r>
          </w:p>
        </w:tc>
        <w:tc>
          <w:tcPr>
            <w:tcW w:w="272"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6"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7"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41"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1"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4"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2"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2"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7"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6"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7" w:type="pct"/>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3"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52" w:type="pct"/>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4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82" w:type="pct"/>
            <w:gridSpan w:val="5"/>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2"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6"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7"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41"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1"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4"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2"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2"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7"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6"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7" w:type="pct"/>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3"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52"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267" w:type="pct"/>
            <w:gridSpan w:val="21"/>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部门(单位)：墨脱县达木乡小学</w:t>
            </w:r>
          </w:p>
        </w:tc>
        <w:tc>
          <w:tcPr>
            <w:tcW w:w="444"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217" w:type="pct"/>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46" w:type="pct"/>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27" w:type="pct"/>
            <w:gridSpan w:val="4"/>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43" w:type="pct"/>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52"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721" w:type="pct"/>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w:t>
            </w:r>
          </w:p>
        </w:tc>
        <w:tc>
          <w:tcPr>
            <w:tcW w:w="3278" w:type="pct"/>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177" w:type="pct"/>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441" w:type="pct"/>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一般公共预算财政拨款</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政府性基金预算财政拨款</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1,308.42</w:t>
            </w: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w:t>
            </w: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1,005.66</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1,005.66</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121.09</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121.09</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58.31</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58.31</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123.37</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123.37</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1,309.64</w:t>
            </w: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1,309.64</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1,308.42</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国有资本经营预算财政拨款</w:t>
            </w: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03"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1,309.64</w:t>
            </w:r>
          </w:p>
        </w:tc>
        <w:tc>
          <w:tcPr>
            <w:tcW w:w="9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2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4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1,309.64</w:t>
            </w:r>
          </w:p>
        </w:tc>
        <w:tc>
          <w:tcPr>
            <w:tcW w:w="5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1,308.42</w:t>
            </w:r>
          </w:p>
        </w:tc>
        <w:tc>
          <w:tcPr>
            <w:tcW w:w="5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55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4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注：本表反映部门（单位）本年度一般公共预算财政拨款、政府性基金预算财政拨款和国有资本经营预算财政拨款的总收支和年末结转结余情况。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80" w:hRule="atLeast"/>
        </w:trPr>
        <w:tc>
          <w:tcPr>
            <w:tcW w:w="310"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附件1-5</w:t>
            </w:r>
          </w:p>
        </w:tc>
        <w:tc>
          <w:tcPr>
            <w:tcW w:w="550" w:type="pct"/>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5"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4"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8"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8" w:type="pct"/>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0"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0"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1"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1"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0"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5"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2"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348" w:hRule="atLeast"/>
        </w:trPr>
        <w:tc>
          <w:tcPr>
            <w:tcW w:w="4996" w:type="pct"/>
            <w:gridSpan w:val="4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pct"/>
          <w:trHeight w:val="288" w:hRule="atLeast"/>
        </w:trPr>
        <w:tc>
          <w:tcPr>
            <w:tcW w:w="10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0"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6"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50" w:type="pct"/>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5"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4"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8"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8" w:type="pct"/>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0"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00"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1"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1"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0"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5"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288" w:hRule="atLeast"/>
        </w:trPr>
        <w:tc>
          <w:tcPr>
            <w:tcW w:w="2272" w:type="pct"/>
            <w:gridSpan w:val="2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部门(单位)：墨脱县达木乡小学</w:t>
            </w:r>
          </w:p>
        </w:tc>
        <w:tc>
          <w:tcPr>
            <w:tcW w:w="570"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13"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1"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1"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0"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5"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2"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288" w:hRule="atLeast"/>
        </w:trPr>
        <w:tc>
          <w:tcPr>
            <w:tcW w:w="310" w:type="pct"/>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550"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83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84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924"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529" w:type="pct"/>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288" w:hRule="atLeast"/>
        </w:trPr>
        <w:tc>
          <w:tcPr>
            <w:tcW w:w="310"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c>
          <w:tcPr>
            <w:tcW w:w="28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88"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2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30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1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3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3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85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288" w:hRule="atLeast"/>
        </w:trPr>
        <w:tc>
          <w:tcPr>
            <w:tcW w:w="310"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5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8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88"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0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288" w:hRule="atLeast"/>
        </w:trPr>
        <w:tc>
          <w:tcPr>
            <w:tcW w:w="1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1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55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28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28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3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3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288" w:hRule="atLeast"/>
        </w:trPr>
        <w:tc>
          <w:tcPr>
            <w:tcW w:w="1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5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1,308.42</w:t>
            </w:r>
          </w:p>
        </w:tc>
        <w:tc>
          <w:tcPr>
            <w:tcW w:w="28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1,145.46</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162.97</w:t>
            </w:r>
          </w:p>
        </w:tc>
        <w:tc>
          <w:tcPr>
            <w:tcW w:w="3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1,308.42</w:t>
            </w:r>
          </w:p>
        </w:tc>
        <w:tc>
          <w:tcPr>
            <w:tcW w:w="3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1,145.46</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162.97</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288" w:hRule="atLeast"/>
        </w:trPr>
        <w:tc>
          <w:tcPr>
            <w:tcW w:w="3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55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1,005.66</w:t>
            </w:r>
          </w:p>
        </w:tc>
        <w:tc>
          <w:tcPr>
            <w:tcW w:w="28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842.69</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162.97</w:t>
            </w:r>
          </w:p>
        </w:tc>
        <w:tc>
          <w:tcPr>
            <w:tcW w:w="3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1,005.66</w:t>
            </w:r>
          </w:p>
        </w:tc>
        <w:tc>
          <w:tcPr>
            <w:tcW w:w="3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842.69</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162.97</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288" w:hRule="atLeast"/>
        </w:trPr>
        <w:tc>
          <w:tcPr>
            <w:tcW w:w="3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55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1,005.66</w:t>
            </w:r>
          </w:p>
        </w:tc>
        <w:tc>
          <w:tcPr>
            <w:tcW w:w="28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842.69</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162.97</w:t>
            </w:r>
          </w:p>
        </w:tc>
        <w:tc>
          <w:tcPr>
            <w:tcW w:w="3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1,005.66</w:t>
            </w:r>
          </w:p>
        </w:tc>
        <w:tc>
          <w:tcPr>
            <w:tcW w:w="3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842.69</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162.97</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288" w:hRule="atLeast"/>
        </w:trPr>
        <w:tc>
          <w:tcPr>
            <w:tcW w:w="3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55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23.88</w:t>
            </w:r>
          </w:p>
        </w:tc>
        <w:tc>
          <w:tcPr>
            <w:tcW w:w="28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7.34</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16.55</w:t>
            </w:r>
          </w:p>
        </w:tc>
        <w:tc>
          <w:tcPr>
            <w:tcW w:w="3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23.88</w:t>
            </w:r>
          </w:p>
        </w:tc>
        <w:tc>
          <w:tcPr>
            <w:tcW w:w="3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7.34</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16.55</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288" w:hRule="atLeast"/>
        </w:trPr>
        <w:tc>
          <w:tcPr>
            <w:tcW w:w="3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55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981.78</w:t>
            </w:r>
          </w:p>
        </w:tc>
        <w:tc>
          <w:tcPr>
            <w:tcW w:w="28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835.35</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146.42</w:t>
            </w:r>
          </w:p>
        </w:tc>
        <w:tc>
          <w:tcPr>
            <w:tcW w:w="3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981.78</w:t>
            </w:r>
          </w:p>
        </w:tc>
        <w:tc>
          <w:tcPr>
            <w:tcW w:w="3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835.35</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146.42</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288" w:hRule="atLeast"/>
        </w:trPr>
        <w:tc>
          <w:tcPr>
            <w:tcW w:w="3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55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121.09</w:t>
            </w:r>
          </w:p>
        </w:tc>
        <w:tc>
          <w:tcPr>
            <w:tcW w:w="28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121.09</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121.09</w:t>
            </w:r>
          </w:p>
        </w:tc>
        <w:tc>
          <w:tcPr>
            <w:tcW w:w="3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121.09</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288" w:hRule="atLeast"/>
        </w:trPr>
        <w:tc>
          <w:tcPr>
            <w:tcW w:w="3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55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121.09</w:t>
            </w:r>
          </w:p>
        </w:tc>
        <w:tc>
          <w:tcPr>
            <w:tcW w:w="28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121.09</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121.09</w:t>
            </w:r>
          </w:p>
        </w:tc>
        <w:tc>
          <w:tcPr>
            <w:tcW w:w="3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121.09</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288" w:hRule="atLeast"/>
        </w:trPr>
        <w:tc>
          <w:tcPr>
            <w:tcW w:w="3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55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121.09</w:t>
            </w:r>
          </w:p>
        </w:tc>
        <w:tc>
          <w:tcPr>
            <w:tcW w:w="28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121.09</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121.09</w:t>
            </w:r>
          </w:p>
        </w:tc>
        <w:tc>
          <w:tcPr>
            <w:tcW w:w="3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121.09</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288" w:hRule="atLeast"/>
        </w:trPr>
        <w:tc>
          <w:tcPr>
            <w:tcW w:w="3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55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58.31</w:t>
            </w:r>
          </w:p>
        </w:tc>
        <w:tc>
          <w:tcPr>
            <w:tcW w:w="28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58.31</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58.31</w:t>
            </w:r>
          </w:p>
        </w:tc>
        <w:tc>
          <w:tcPr>
            <w:tcW w:w="3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58.31</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288" w:hRule="atLeast"/>
        </w:trPr>
        <w:tc>
          <w:tcPr>
            <w:tcW w:w="3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55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58.31</w:t>
            </w:r>
          </w:p>
        </w:tc>
        <w:tc>
          <w:tcPr>
            <w:tcW w:w="28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58.31</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58.31</w:t>
            </w:r>
          </w:p>
        </w:tc>
        <w:tc>
          <w:tcPr>
            <w:tcW w:w="3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58.31</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288" w:hRule="atLeast"/>
        </w:trPr>
        <w:tc>
          <w:tcPr>
            <w:tcW w:w="3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55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58.31</w:t>
            </w:r>
          </w:p>
        </w:tc>
        <w:tc>
          <w:tcPr>
            <w:tcW w:w="28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58.31</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58.31</w:t>
            </w:r>
          </w:p>
        </w:tc>
        <w:tc>
          <w:tcPr>
            <w:tcW w:w="3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58.31</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288" w:hRule="atLeast"/>
        </w:trPr>
        <w:tc>
          <w:tcPr>
            <w:tcW w:w="3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55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123.37</w:t>
            </w:r>
          </w:p>
        </w:tc>
        <w:tc>
          <w:tcPr>
            <w:tcW w:w="28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123.37</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123.37</w:t>
            </w:r>
          </w:p>
        </w:tc>
        <w:tc>
          <w:tcPr>
            <w:tcW w:w="3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123.37</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288" w:hRule="atLeast"/>
        </w:trPr>
        <w:tc>
          <w:tcPr>
            <w:tcW w:w="3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55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123.37</w:t>
            </w:r>
          </w:p>
        </w:tc>
        <w:tc>
          <w:tcPr>
            <w:tcW w:w="28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123.37</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123.37</w:t>
            </w:r>
          </w:p>
        </w:tc>
        <w:tc>
          <w:tcPr>
            <w:tcW w:w="3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123.37</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288" w:hRule="atLeast"/>
        </w:trPr>
        <w:tc>
          <w:tcPr>
            <w:tcW w:w="3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55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80.26</w:t>
            </w:r>
          </w:p>
        </w:tc>
        <w:tc>
          <w:tcPr>
            <w:tcW w:w="28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80.26</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80.26</w:t>
            </w:r>
          </w:p>
        </w:tc>
        <w:tc>
          <w:tcPr>
            <w:tcW w:w="3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80.26</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288" w:hRule="atLeast"/>
        </w:trPr>
        <w:tc>
          <w:tcPr>
            <w:tcW w:w="3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55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43.11</w:t>
            </w:r>
          </w:p>
        </w:tc>
        <w:tc>
          <w:tcPr>
            <w:tcW w:w="28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43.11</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43.11</w:t>
            </w:r>
          </w:p>
        </w:tc>
        <w:tc>
          <w:tcPr>
            <w:tcW w:w="3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43.11</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pct"/>
          <w:trHeight w:val="288" w:hRule="atLeast"/>
        </w:trPr>
        <w:tc>
          <w:tcPr>
            <w:tcW w:w="4996" w:type="pct"/>
            <w:gridSpan w:val="41"/>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注：本表反映部门（单位）本年度一般公共预算财政拨款收入支出情况。</w:t>
            </w:r>
          </w:p>
        </w:tc>
      </w:tr>
    </w:tbl>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08"/>
        <w:gridCol w:w="1561"/>
        <w:gridCol w:w="615"/>
        <w:gridCol w:w="945"/>
        <w:gridCol w:w="863"/>
        <w:gridCol w:w="1522"/>
        <w:gridCol w:w="522"/>
        <w:gridCol w:w="888"/>
        <w:gridCol w:w="1110"/>
        <w:gridCol w:w="1816"/>
        <w:gridCol w:w="660"/>
        <w:gridCol w:w="1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55"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附件1-6</w:t>
            </w:r>
          </w:p>
        </w:tc>
        <w:tc>
          <w:tcPr>
            <w:tcW w:w="61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9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3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一般公共预算财政拨款基本支出决算公开表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35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9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3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8"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912"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0"/>
                <w:szCs w:val="20"/>
                <w:u w:val="none"/>
                <w:lang w:val="en-US" w:eastAsia="zh-CN" w:bidi="ar"/>
              </w:rPr>
              <w:t>部门(单位)：墨脱县达木乡小学</w:t>
            </w:r>
          </w:p>
        </w:tc>
        <w:tc>
          <w:tcPr>
            <w:tcW w:w="595"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0"/>
                <w:szCs w:val="20"/>
                <w:u w:val="none"/>
                <w:lang w:val="en-US" w:eastAsia="zh-CN" w:bidi="ar"/>
              </w:rPr>
              <w:t>2024年度</w:t>
            </w:r>
          </w:p>
        </w:tc>
        <w:tc>
          <w:tcPr>
            <w:tcW w:w="20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34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43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70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2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6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c>
          <w:tcPr>
            <w:tcW w:w="3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c>
          <w:tcPr>
            <w:tcW w:w="4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709"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25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53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09"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5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3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1,101.43</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42.73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117.98</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517.80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142.57</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121.09</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58.31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80.26</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58.91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39909</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39910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1,102.14</w:t>
            </w:r>
          </w:p>
        </w:tc>
        <w:tc>
          <w:tcPr>
            <w:tcW w:w="2627"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注：本表反映部门（单位）本年度一般公共预算财政拨款基本支出明细情况。</w:t>
            </w:r>
          </w:p>
        </w:tc>
      </w:tr>
    </w:tbl>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shd w:val="clear"/>
        <w:bidi w:val="0"/>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tbl>
      <w:tblPr>
        <w:tblStyle w:val="9"/>
        <w:tblW w:w="512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89"/>
        <w:gridCol w:w="223"/>
        <w:gridCol w:w="241"/>
        <w:gridCol w:w="1994"/>
        <w:gridCol w:w="654"/>
        <w:gridCol w:w="1001"/>
        <w:gridCol w:w="1089"/>
        <w:gridCol w:w="555"/>
        <w:gridCol w:w="615"/>
        <w:gridCol w:w="585"/>
        <w:gridCol w:w="719"/>
        <w:gridCol w:w="679"/>
        <w:gridCol w:w="680"/>
        <w:gridCol w:w="594"/>
        <w:gridCol w:w="776"/>
        <w:gridCol w:w="1083"/>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249"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附件1-7</w:t>
            </w:r>
          </w:p>
        </w:tc>
        <w:tc>
          <w:tcPr>
            <w:tcW w:w="76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5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4042" w:type="pct"/>
            <w:gridSpan w:val="1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政府性基金预算财政拨款收入支出决算公开表</w:t>
            </w:r>
          </w:p>
        </w:tc>
        <w:tc>
          <w:tcPr>
            <w:tcW w:w="4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7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8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9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76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4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1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1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3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2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7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5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5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9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057"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部门(单位)：墨脱县达木乡小学</w:t>
            </w:r>
          </w:p>
        </w:tc>
        <w:tc>
          <w:tcPr>
            <w:tcW w:w="446"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22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7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5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2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9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4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4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4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761"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047"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669"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792"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479" w:type="pct"/>
            <w:gridSpan w:val="4"/>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4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61"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5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226"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957" w:type="pct"/>
            <w:gridSpan w:val="2"/>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4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61"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2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1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85"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91"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7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49" w:type="pct"/>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296" w:type="pct"/>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413" w:type="pct"/>
            <w:tcBorders>
              <w:top w:val="nil"/>
              <w:left w:val="single" w:color="80808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543" w:type="pct"/>
            <w:tcBorders>
              <w:top w:val="nil"/>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2"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61"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1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w:t>
            </w:r>
          </w:p>
        </w:tc>
        <w:tc>
          <w:tcPr>
            <w:tcW w:w="2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w:t>
            </w:r>
          </w:p>
        </w:tc>
        <w:tc>
          <w:tcPr>
            <w:tcW w:w="2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w:t>
            </w:r>
          </w:p>
        </w:tc>
        <w:tc>
          <w:tcPr>
            <w:tcW w:w="25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w:t>
            </w:r>
          </w:p>
        </w:tc>
        <w:tc>
          <w:tcPr>
            <w:tcW w:w="2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1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4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4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22960</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彩票公益金安排的支出</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4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2296004</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用于教育事业的彩票公益金支出</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7"/>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注：本表反映部门（单位）本年度政府性基金预算财政拨款收入支出情况。</w:t>
            </w:r>
          </w:p>
        </w:tc>
      </w:tr>
    </w:tbl>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85"/>
        <w:gridCol w:w="302"/>
        <w:gridCol w:w="258"/>
        <w:gridCol w:w="2464"/>
        <w:gridCol w:w="1102"/>
        <w:gridCol w:w="1168"/>
        <w:gridCol w:w="1217"/>
        <w:gridCol w:w="1166"/>
        <w:gridCol w:w="1232"/>
        <w:gridCol w:w="1140"/>
        <w:gridCol w:w="1102"/>
        <w:gridCol w:w="1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331"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附件1-8</w:t>
            </w:r>
          </w:p>
        </w:tc>
        <w:tc>
          <w:tcPr>
            <w:tcW w:w="96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5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7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5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8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4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2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国有资本经营预算财政拨款收入支出决算公开表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1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0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96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3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5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7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5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4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3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2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183"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部门(单位)：墨脱县达木乡小学</w:t>
            </w:r>
          </w:p>
        </w:tc>
        <w:tc>
          <w:tcPr>
            <w:tcW w:w="93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48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44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4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2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1" w:type="pct"/>
            <w:gridSpan w:val="3"/>
            <w:vMerge w:val="restart"/>
            <w:tcBorders>
              <w:top w:val="single" w:color="000000" w:sz="4" w:space="0"/>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964"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363"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402" w:type="pct"/>
            <w:gridSpan w:val="3"/>
            <w:tcBorders>
              <w:top w:val="single" w:color="000000" w:sz="4" w:space="0"/>
              <w:left w:val="nil"/>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1" w:type="pct"/>
            <w:gridSpan w:val="3"/>
            <w:vMerge w:val="continue"/>
            <w:tcBorders>
              <w:top w:val="single" w:color="000000" w:sz="4" w:space="0"/>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64"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结转</w:t>
            </w:r>
          </w:p>
        </w:tc>
        <w:tc>
          <w:tcPr>
            <w:tcW w:w="47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结余</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4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结转</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1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1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00" w:type="pct"/>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0"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注：本表反映部门（单位）本年度国有资本经营预算财政拨款收入支出情况。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r>
    </w:tbl>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tbl>
      <w:tblPr>
        <w:tblStyle w:val="9"/>
        <w:tblW w:w="507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0"/>
        <w:gridCol w:w="1528"/>
        <w:gridCol w:w="707"/>
        <w:gridCol w:w="1341"/>
        <w:gridCol w:w="859"/>
        <w:gridCol w:w="970"/>
        <w:gridCol w:w="405"/>
        <w:gridCol w:w="1528"/>
        <w:gridCol w:w="405"/>
        <w:gridCol w:w="1341"/>
        <w:gridCol w:w="1717"/>
        <w:gridCol w:w="1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82"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附件1-9</w:t>
            </w:r>
          </w:p>
        </w:tc>
        <w:tc>
          <w:tcPr>
            <w:tcW w:w="58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7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1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7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5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8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5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1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6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财政拨款“三公”经费支出决算公开表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2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8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7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1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3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7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5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8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5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1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66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51"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66"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部门(单位)：墨脱县达木乡小学 </w:t>
            </w:r>
          </w:p>
        </w:tc>
        <w:tc>
          <w:tcPr>
            <w:tcW w:w="745"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15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1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66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51"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66" w:type="pct"/>
            <w:gridSpan w:val="6"/>
            <w:tcBorders>
              <w:top w:val="single" w:color="000000" w:sz="4" w:space="0"/>
              <w:left w:val="single" w:color="80808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预算数</w:t>
            </w:r>
          </w:p>
        </w:tc>
        <w:tc>
          <w:tcPr>
            <w:tcW w:w="2633" w:type="pct"/>
            <w:gridSpan w:val="6"/>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89" w:type="pct"/>
            <w:vMerge w:val="restart"/>
            <w:tcBorders>
              <w:top w:val="single" w:color="000000" w:sz="4" w:space="0"/>
              <w:left w:val="nil"/>
              <w:bottom w:val="single" w:color="80808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因公出国（境）费</w:t>
            </w:r>
          </w:p>
        </w:tc>
        <w:tc>
          <w:tcPr>
            <w:tcW w:w="1121" w:type="pct"/>
            <w:gridSpan w:val="3"/>
            <w:tcBorders>
              <w:top w:val="nil"/>
              <w:left w:val="nil"/>
              <w:bottom w:val="nil"/>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公务用车购置及运行维护费</w:t>
            </w:r>
          </w:p>
        </w:tc>
        <w:tc>
          <w:tcPr>
            <w:tcW w:w="372" w:type="pct"/>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公务接待费</w:t>
            </w:r>
          </w:p>
        </w:tc>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因公出国（境）费</w:t>
            </w:r>
          </w:p>
        </w:tc>
        <w:tc>
          <w:tcPr>
            <w:tcW w:w="1335"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公务用车购置及运行维护费</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89" w:type="pct"/>
            <w:vMerge w:val="continue"/>
            <w:tcBorders>
              <w:top w:val="single" w:color="000000" w:sz="4" w:space="0"/>
              <w:left w:val="nil"/>
              <w:bottom w:val="single" w:color="80808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公务用车购置费</w:t>
            </w:r>
          </w:p>
        </w:tc>
        <w:tc>
          <w:tcPr>
            <w:tcW w:w="331"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公务用车运行维护费</w:t>
            </w:r>
          </w:p>
        </w:tc>
        <w:tc>
          <w:tcPr>
            <w:tcW w:w="372" w:type="pct"/>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517"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公务用车购置费</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公务用车运行维护费</w:t>
            </w: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82" w:type="pct"/>
            <w:tcBorders>
              <w:top w:val="nil"/>
              <w:left w:val="single" w:color="808080" w:sz="4" w:space="0"/>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9" w:type="pct"/>
            <w:tcBorders>
              <w:top w:val="single" w:color="000000" w:sz="4" w:space="0"/>
              <w:left w:val="single" w:color="000000" w:sz="4" w:space="0"/>
              <w:bottom w:val="single" w:color="80808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17" w:type="pct"/>
            <w:tcBorders>
              <w:top w:val="nil"/>
              <w:left w:val="nil"/>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3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156" w:type="pc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662"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5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注：本表反映部门（单位）本年度财政拨款“三公”经费支出预决算情况。其中，预算数为“三公”经费全年预算数，反映按规定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r>
    </w:tbl>
    <w:p>
      <w:pPr>
        <w:tabs>
          <w:tab w:val="left" w:pos="454"/>
        </w:tabs>
        <w:bidi w:val="0"/>
        <w:jc w:val="left"/>
        <w:rPr>
          <w:rFonts w:hint="eastAsia"/>
          <w:color w:val="auto"/>
          <w:lang w:val="en-US" w:eastAsia="zh-CN"/>
        </w:rPr>
        <w:sectPr>
          <w:pgSz w:w="16838" w:h="11906" w:orient="landscape"/>
          <w:pgMar w:top="1587" w:right="2098" w:bottom="1474" w:left="1984" w:header="851" w:footer="992" w:gutter="0"/>
          <w:cols w:space="0" w:num="1"/>
          <w:rtlGutter w:val="0"/>
          <w:docGrid w:type="lines" w:linePitch="315" w:charSpace="0"/>
        </w:sectPr>
      </w:pPr>
    </w:p>
    <w:p>
      <w:pPr>
        <w:spacing w:line="578" w:lineRule="exact"/>
        <w:jc w:val="center"/>
        <w:rPr>
          <w:rFonts w:hint="eastAsia" w:ascii="黑体" w:hAnsi="ˎ̥" w:eastAsia="黑体"/>
          <w:color w:val="auto"/>
          <w:sz w:val="32"/>
          <w:szCs w:val="32"/>
        </w:rPr>
      </w:pPr>
      <w:bookmarkStart w:id="37" w:name="_Toc31264_WPSOffice_Level1"/>
      <w:bookmarkStart w:id="38" w:name="_Toc27590_WPSOffice_Level1"/>
      <w:bookmarkStart w:id="39" w:name="_Toc4402_WPSOffice_Level1"/>
      <w:bookmarkStart w:id="40" w:name="_Toc16686_WPSOffice_Level1"/>
      <w:bookmarkStart w:id="41" w:name="_Toc29683_WPSOffice_Level1"/>
      <w:bookmarkStart w:id="42" w:name="_Toc28629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37"/>
      <w:bookmarkEnd w:id="38"/>
      <w:bookmarkEnd w:id="39"/>
      <w:bookmarkEnd w:id="40"/>
      <w:bookmarkEnd w:id="41"/>
      <w:bookmarkEnd w:id="42"/>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eastAsia" w:ascii="仿宋_GB2312" w:hAnsi="ˎ̥" w:eastAsia="仿宋_GB2312"/>
          <w:color w:val="auto"/>
          <w:sz w:val="32"/>
          <w:szCs w:val="32"/>
          <w:lang w:val="en-US" w:eastAsia="zh-CN"/>
        </w:rPr>
        <w:t>1309.64</w:t>
      </w:r>
      <w:r>
        <w:rPr>
          <w:rFonts w:hint="eastAsia" w:ascii="仿宋_GB2312" w:hAnsi="ˎ̥" w:eastAsia="仿宋_GB2312"/>
          <w:color w:val="auto"/>
          <w:sz w:val="32"/>
          <w:szCs w:val="32"/>
        </w:rPr>
        <w:t>万元，支出总计</w:t>
      </w:r>
      <w:r>
        <w:rPr>
          <w:rFonts w:hint="eastAsia" w:ascii="仿宋_GB2312" w:hAnsi="ˎ̥" w:eastAsia="仿宋_GB2312"/>
          <w:color w:val="auto"/>
          <w:sz w:val="32"/>
          <w:szCs w:val="32"/>
          <w:lang w:val="en-US" w:eastAsia="zh-CN"/>
        </w:rPr>
        <w:t>1309.64</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w:t>
      </w:r>
      <w:r>
        <w:rPr>
          <w:rFonts w:hint="eastAsia" w:ascii="仿宋_GB2312" w:hAnsi="ˎ̥" w:eastAsia="仿宋_GB2312"/>
          <w:color w:val="auto"/>
          <w:sz w:val="32"/>
          <w:szCs w:val="32"/>
          <w:lang w:val="en-US" w:eastAsia="zh-CN"/>
        </w:rPr>
        <w:t>增加16.8</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增加1.3</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项目支出增加。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eastAsia" w:ascii="仿宋_GB2312" w:hAnsi="ˎ̥" w:eastAsia="仿宋_GB2312"/>
          <w:color w:val="auto"/>
          <w:sz w:val="32"/>
          <w:szCs w:val="32"/>
          <w:lang w:val="en-US" w:eastAsia="zh-CN"/>
        </w:rPr>
        <w:t>1309.64</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万元，年初结转结余</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1309.64</w:t>
      </w:r>
      <w:r>
        <w:rPr>
          <w:rFonts w:hint="eastAsia" w:ascii="仿宋_GB2312" w:hAnsi="ˎ̥" w:eastAsia="仿宋_GB2312"/>
          <w:color w:val="auto"/>
          <w:sz w:val="32"/>
          <w:szCs w:val="32"/>
        </w:rPr>
        <w:t>万元。其中：基本支出</w:t>
      </w:r>
      <w:r>
        <w:rPr>
          <w:rFonts w:hint="eastAsia" w:ascii="仿宋_GB2312" w:hAnsi="ˎ̥" w:eastAsia="仿宋_GB2312"/>
          <w:color w:val="auto"/>
          <w:sz w:val="32"/>
          <w:szCs w:val="32"/>
          <w:lang w:val="en-US" w:eastAsia="zh-CN"/>
        </w:rPr>
        <w:t>1145.46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87.46</w:t>
      </w:r>
      <w:r>
        <w:rPr>
          <w:rFonts w:hint="eastAsia" w:ascii="仿宋_GB2312" w:hAnsi="ˎ̥" w:eastAsia="仿宋_GB2312"/>
          <w:color w:val="auto"/>
          <w:sz w:val="32"/>
          <w:szCs w:val="32"/>
        </w:rPr>
        <w:t>%；项目支出</w:t>
      </w:r>
      <w:r>
        <w:rPr>
          <w:rFonts w:hint="eastAsia" w:ascii="仿宋_GB2312" w:hAnsi="ˎ̥" w:eastAsia="仿宋_GB2312"/>
          <w:color w:val="auto"/>
          <w:sz w:val="32"/>
          <w:szCs w:val="32"/>
          <w:lang w:val="en-US" w:eastAsia="zh-CN"/>
        </w:rPr>
        <w:t>164.19</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占12.54</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eastAsia" w:ascii="仿宋_GB2312" w:hAnsi="ˎ̥" w:eastAsia="仿宋_GB2312"/>
          <w:color w:val="auto"/>
          <w:sz w:val="32"/>
          <w:szCs w:val="32"/>
          <w:lang w:val="en-US" w:eastAsia="zh-CN"/>
        </w:rPr>
        <w:t>1309.64</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全部为</w:t>
      </w:r>
      <w:r>
        <w:rPr>
          <w:rFonts w:hint="eastAsia" w:ascii="仿宋_GB2312" w:hAnsi="ˎ̥" w:eastAsia="仿宋_GB2312"/>
          <w:color w:val="auto"/>
          <w:sz w:val="32"/>
          <w:szCs w:val="32"/>
        </w:rPr>
        <w:t>财政拨款收入</w:t>
      </w:r>
      <w:r>
        <w:rPr>
          <w:rFonts w:hint="eastAsia" w:ascii="仿宋_GB2312" w:hAnsi="ˎ̥" w:eastAsia="仿宋_GB2312"/>
          <w:color w:val="auto"/>
          <w:sz w:val="32"/>
          <w:szCs w:val="32"/>
          <w:lang w:val="en-US" w:eastAsia="zh-CN"/>
        </w:rPr>
        <w:t>1309.64</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1309.64</w:t>
      </w:r>
      <w:r>
        <w:rPr>
          <w:rFonts w:hint="eastAsia" w:ascii="仿宋_GB2312" w:hAnsi="ˎ̥" w:eastAsia="仿宋_GB2312"/>
          <w:color w:val="auto"/>
          <w:sz w:val="32"/>
          <w:szCs w:val="32"/>
        </w:rPr>
        <w:t>万元。其中：基本支出</w:t>
      </w:r>
      <w:r>
        <w:rPr>
          <w:rFonts w:hint="eastAsia" w:ascii="仿宋_GB2312" w:hAnsi="ˎ̥" w:eastAsia="仿宋_GB2312"/>
          <w:color w:val="auto"/>
          <w:sz w:val="32"/>
          <w:szCs w:val="32"/>
          <w:lang w:val="en-US" w:eastAsia="zh-CN"/>
        </w:rPr>
        <w:t>1145.46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87.46</w:t>
      </w:r>
      <w:r>
        <w:rPr>
          <w:rFonts w:hint="eastAsia" w:ascii="仿宋_GB2312" w:hAnsi="ˎ̥" w:eastAsia="仿宋_GB2312"/>
          <w:color w:val="auto"/>
          <w:sz w:val="32"/>
          <w:szCs w:val="32"/>
        </w:rPr>
        <w:t>%；项目支出</w:t>
      </w:r>
      <w:r>
        <w:rPr>
          <w:rFonts w:hint="eastAsia" w:ascii="仿宋_GB2312" w:hAnsi="ˎ̥" w:eastAsia="仿宋_GB2312"/>
          <w:color w:val="auto"/>
          <w:sz w:val="32"/>
          <w:szCs w:val="32"/>
          <w:lang w:val="en-US" w:eastAsia="zh-CN"/>
        </w:rPr>
        <w:t>164.19</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占12.54</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eastAsia" w:ascii="仿宋_GB2312" w:hAnsi="ˎ̥" w:eastAsia="仿宋_GB2312"/>
          <w:color w:val="auto"/>
          <w:sz w:val="32"/>
          <w:szCs w:val="32"/>
          <w:lang w:val="en-US" w:eastAsia="zh-CN"/>
        </w:rPr>
        <w:t>1309.64</w:t>
      </w:r>
      <w:r>
        <w:rPr>
          <w:rFonts w:hint="eastAsia" w:ascii="仿宋_GB2312" w:hAnsi="ˎ̥" w:eastAsia="仿宋_GB2312"/>
          <w:color w:val="auto"/>
          <w:sz w:val="32"/>
          <w:szCs w:val="32"/>
        </w:rPr>
        <w:t>万元，支出</w:t>
      </w:r>
      <w:r>
        <w:rPr>
          <w:rFonts w:hint="eastAsia" w:ascii="仿宋_GB2312" w:hAnsi="ˎ̥" w:eastAsia="仿宋_GB2312"/>
          <w:color w:val="auto"/>
          <w:sz w:val="32"/>
          <w:szCs w:val="32"/>
          <w:lang w:val="en-US" w:eastAsia="zh-CN"/>
        </w:rPr>
        <w:t>1309.64</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w:t>
      </w:r>
      <w:r>
        <w:rPr>
          <w:rFonts w:hint="eastAsia" w:ascii="仿宋_GB2312" w:hAnsi="ˎ̥" w:eastAsia="仿宋_GB2312"/>
          <w:color w:val="auto"/>
          <w:sz w:val="32"/>
          <w:szCs w:val="32"/>
          <w:lang w:val="en-US" w:eastAsia="zh-CN"/>
        </w:rPr>
        <w:t>增加16.8</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增加1.3%</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增加16.8</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增加1.3</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43" w:name="_Toc23005_WPSOffice_Level2"/>
      <w:bookmarkStart w:id="44" w:name="_Toc9989_WPSOffice_Level2"/>
      <w:bookmarkStart w:id="45" w:name="_Toc19665_WPSOffice_Level2"/>
      <w:bookmarkStart w:id="46" w:name="_Toc17398_WPSOffice_Level2"/>
      <w:bookmarkStart w:id="47" w:name="_Toc13694_WPSOffice_Level2"/>
      <w:bookmarkStart w:id="48" w:name="_Toc21737_WPSOffice_Level2"/>
      <w:r>
        <w:rPr>
          <w:rFonts w:hint="eastAsia" w:ascii="楷体" w:hAnsi="楷体" w:eastAsia="楷体" w:cs="楷体"/>
          <w:color w:val="auto"/>
          <w:sz w:val="32"/>
          <w:szCs w:val="32"/>
        </w:rPr>
        <w:t>（一）一般公共预算财政拨款支出决算总体情况</w:t>
      </w:r>
      <w:bookmarkEnd w:id="43"/>
      <w:bookmarkEnd w:id="44"/>
      <w:bookmarkEnd w:id="45"/>
      <w:bookmarkEnd w:id="46"/>
      <w:bookmarkEnd w:id="47"/>
      <w:bookmarkEnd w:id="48"/>
    </w:p>
    <w:p>
      <w:pPr>
        <w:spacing w:line="578" w:lineRule="exact"/>
        <w:ind w:firstLine="640" w:firstLineChars="200"/>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1308.42</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99.91</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w:t>
      </w:r>
      <w:r>
        <w:rPr>
          <w:rFonts w:hint="eastAsia" w:ascii="仿宋_GB2312" w:hAnsi="ˎ̥" w:eastAsia="仿宋_GB2312"/>
          <w:color w:val="auto"/>
          <w:sz w:val="32"/>
          <w:szCs w:val="32"/>
          <w:lang w:val="en-US" w:eastAsia="zh-CN"/>
        </w:rPr>
        <w:t>增加16.9</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增加1.31</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项目支出</w:t>
      </w:r>
      <w:r>
        <w:rPr>
          <w:rFonts w:hint="eastAsia" w:ascii="仿宋_GB2312" w:hAnsi="ˎ̥" w:eastAsia="仿宋_GB2312"/>
          <w:color w:val="auto"/>
          <w:sz w:val="32"/>
          <w:szCs w:val="32"/>
          <w:lang w:val="en-US" w:eastAsia="zh-CN"/>
        </w:rPr>
        <w:t>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49" w:name="_Toc19535_WPSOffice_Level2"/>
      <w:bookmarkStart w:id="50" w:name="_Toc19075_WPSOffice_Level2"/>
      <w:bookmarkStart w:id="51" w:name="_Toc18793_WPSOffice_Level2"/>
      <w:bookmarkStart w:id="52" w:name="_Toc27767_WPSOffice_Level2"/>
      <w:bookmarkStart w:id="53" w:name="_Toc23864_WPSOffice_Level2"/>
      <w:bookmarkStart w:id="54" w:name="_Toc2711_WPSOffice_Level2"/>
      <w:r>
        <w:rPr>
          <w:rFonts w:hint="eastAsia" w:ascii="楷体" w:hAnsi="楷体" w:eastAsia="楷体" w:cs="楷体"/>
          <w:color w:val="auto"/>
          <w:sz w:val="32"/>
          <w:szCs w:val="32"/>
        </w:rPr>
        <w:t>（二）一般公共预算财政拨款支出决算结构情况</w:t>
      </w:r>
      <w:bookmarkEnd w:id="49"/>
      <w:bookmarkEnd w:id="50"/>
      <w:bookmarkEnd w:id="51"/>
      <w:bookmarkEnd w:id="52"/>
      <w:bookmarkEnd w:id="53"/>
      <w:bookmarkEnd w:id="54"/>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1308.42</w:t>
      </w:r>
      <w:r>
        <w:rPr>
          <w:rFonts w:hint="eastAsia" w:ascii="仿宋_GB2312" w:hAnsi="ˎ̥" w:eastAsia="仿宋_GB2312"/>
          <w:color w:val="auto"/>
          <w:sz w:val="32"/>
          <w:szCs w:val="32"/>
        </w:rPr>
        <w:t>万元，主要用于以下方面：</w:t>
      </w:r>
      <w:r>
        <w:rPr>
          <w:rFonts w:hint="eastAsia" w:ascii="仿宋_GB2312" w:hAnsi="仿宋_GB2312" w:eastAsia="仿宋_GB2312" w:cs="仿宋_GB2312"/>
          <w:b/>
          <w:sz w:val="32"/>
          <w:szCs w:val="32"/>
        </w:rPr>
        <w:t>教育（类）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1005.66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76.86</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社会保障和就业（类）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121.09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9.25</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卫生健康（类）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58.31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4.46</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住房保障（类）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123.37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9.43</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55" w:name="_Toc25136_WPSOffice_Level2"/>
      <w:bookmarkStart w:id="56" w:name="_Toc15415_WPSOffice_Level2"/>
      <w:bookmarkStart w:id="57" w:name="_Toc9502_WPSOffice_Level2"/>
      <w:bookmarkStart w:id="58" w:name="_Toc22318_WPSOffice_Level2"/>
      <w:bookmarkStart w:id="59" w:name="_Toc29364_WPSOffice_Level2"/>
      <w:bookmarkStart w:id="60" w:name="_Toc21701_WPSOffice_Level2"/>
      <w:r>
        <w:rPr>
          <w:rFonts w:hint="eastAsia" w:ascii="楷体" w:hAnsi="楷体" w:eastAsia="楷体" w:cs="楷体"/>
          <w:color w:val="auto"/>
          <w:sz w:val="32"/>
          <w:szCs w:val="32"/>
        </w:rPr>
        <w:t>（三）一般公共预算财政拨款支出决算具体情况</w:t>
      </w:r>
      <w:bookmarkEnd w:id="55"/>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1248.83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1308.42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104.77</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主要是项目支出增加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 w:hAnsi="仿宋" w:eastAsia="仿宋"/>
          <w:color w:val="auto"/>
          <w:sz w:val="32"/>
          <w:szCs w:val="32"/>
          <w:lang w:val="en-US" w:eastAsia="zh-CN"/>
        </w:rPr>
        <w:t>1145.46</w:t>
      </w:r>
      <w:r>
        <w:rPr>
          <w:rFonts w:hint="eastAsia" w:ascii="仿宋_GB2312" w:hAnsi="ˎ̥" w:eastAsia="仿宋_GB2312"/>
          <w:color w:val="auto"/>
          <w:sz w:val="32"/>
          <w:szCs w:val="32"/>
        </w:rPr>
        <w:t>万元，其中：人员经费</w:t>
      </w:r>
      <w:r>
        <w:rPr>
          <w:rFonts w:hint="eastAsia" w:ascii="仿宋_GB2312" w:hAnsi="ˎ̥" w:eastAsia="仿宋_GB2312"/>
          <w:color w:val="auto"/>
          <w:sz w:val="32"/>
          <w:szCs w:val="32"/>
          <w:lang w:val="en-US" w:eastAsia="zh-CN"/>
        </w:rPr>
        <w:t>1102.14</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color w:val="auto"/>
          <w:sz w:val="32"/>
          <w:szCs w:val="32"/>
          <w:lang w:val="en-US" w:eastAsia="zh-CN"/>
        </w:rPr>
        <w:t>43.32</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spacing w:line="57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w:t>
      </w:r>
      <w:r>
        <w:rPr>
          <w:rFonts w:hint="eastAsia" w:ascii="仿宋_GB2312" w:hAnsi="ˎ̥" w:eastAsia="仿宋_GB2312"/>
          <w:color w:val="auto"/>
          <w:sz w:val="32"/>
          <w:szCs w:val="32"/>
        </w:rPr>
        <w:t>拨款支出</w:t>
      </w:r>
      <w:r>
        <w:rPr>
          <w:rFonts w:hint="eastAsia" w:ascii="仿宋_GB2312" w:hAnsi="ˎ̥" w:eastAsia="仿宋_GB2312"/>
          <w:color w:val="auto"/>
          <w:sz w:val="32"/>
          <w:szCs w:val="32"/>
          <w:lang w:val="en-US" w:eastAsia="zh-CN"/>
        </w:rPr>
        <w:t>1.22</w:t>
      </w:r>
      <w:r>
        <w:rPr>
          <w:rFonts w:hint="eastAsia" w:ascii="仿宋_GB2312" w:hAnsi="ˎ̥" w:eastAsia="仿宋_GB2312"/>
          <w:color w:val="auto"/>
          <w:sz w:val="32"/>
          <w:szCs w:val="32"/>
        </w:rPr>
        <w:t>万元</w:t>
      </w:r>
      <w:r>
        <w:rPr>
          <w:rFonts w:hint="eastAsia" w:ascii="仿宋_GB2312" w:hAnsi="ˎ̥" w:eastAsia="仿宋_GB2312"/>
          <w:sz w:val="32"/>
          <w:szCs w:val="32"/>
        </w:rPr>
        <w:t>，占本年支出合计的</w:t>
      </w:r>
      <w:r>
        <w:rPr>
          <w:rFonts w:hint="eastAsia" w:ascii="仿宋_GB2312" w:hAnsi="ˎ̥" w:eastAsia="仿宋_GB2312"/>
          <w:sz w:val="32"/>
          <w:szCs w:val="32"/>
          <w:lang w:val="en-US" w:eastAsia="zh-CN"/>
        </w:rPr>
        <w:t>0.09</w:t>
      </w:r>
      <w:r>
        <w:rPr>
          <w:rFonts w:hint="eastAsia" w:ascii="仿宋_GB2312" w:hAnsi="ˎ̥" w:eastAsia="仿宋_GB2312"/>
          <w:sz w:val="32"/>
          <w:szCs w:val="32"/>
        </w:rPr>
        <w:t>%。与202</w:t>
      </w:r>
      <w:r>
        <w:rPr>
          <w:rFonts w:hint="eastAsia" w:ascii="仿宋_GB2312" w:hAnsi="ˎ̥" w:eastAsia="仿宋_GB2312"/>
          <w:sz w:val="32"/>
          <w:szCs w:val="32"/>
          <w:lang w:val="en-US" w:eastAsia="zh-CN"/>
        </w:rPr>
        <w:t>3</w:t>
      </w:r>
      <w:r>
        <w:rPr>
          <w:rFonts w:hint="eastAsia" w:ascii="仿宋_GB2312" w:hAnsi="ˎ̥" w:eastAsia="仿宋_GB2312"/>
          <w:sz w:val="32"/>
          <w:szCs w:val="32"/>
        </w:rPr>
        <w:t>年度相比，政府性基金预算财政拨款支出</w:t>
      </w:r>
      <w:r>
        <w:rPr>
          <w:rFonts w:hint="eastAsia" w:ascii="仿宋_GB2312" w:hAnsi="ˎ̥" w:eastAsia="仿宋_GB2312"/>
          <w:sz w:val="32"/>
          <w:szCs w:val="32"/>
          <w:lang w:val="en-US" w:eastAsia="zh-CN"/>
        </w:rPr>
        <w:t>减少0.1</w:t>
      </w:r>
      <w:r>
        <w:rPr>
          <w:rFonts w:hint="eastAsia" w:ascii="仿宋_GB2312" w:hAnsi="ˎ̥" w:eastAsia="仿宋_GB2312"/>
          <w:sz w:val="32"/>
          <w:szCs w:val="32"/>
        </w:rPr>
        <w:t>万元，</w:t>
      </w:r>
      <w:r>
        <w:rPr>
          <w:rFonts w:hint="eastAsia" w:ascii="仿宋_GB2312" w:hAnsi="ˎ̥" w:eastAsia="仿宋_GB2312"/>
          <w:sz w:val="32"/>
          <w:szCs w:val="32"/>
          <w:lang w:val="en-US" w:eastAsia="zh-CN"/>
        </w:rPr>
        <w:t>减少7.58</w:t>
      </w:r>
      <w:r>
        <w:rPr>
          <w:rFonts w:hint="eastAsia" w:ascii="仿宋_GB2312" w:hAnsi="ˎ̥" w:eastAsia="仿宋_GB2312"/>
          <w:sz w:val="32"/>
          <w:szCs w:val="32"/>
        </w:rPr>
        <w:t>%，主要原因是</w:t>
      </w:r>
      <w:r>
        <w:rPr>
          <w:rFonts w:hint="eastAsia" w:ascii="仿宋_GB2312" w:hAnsi="ˎ̥" w:eastAsia="仿宋_GB2312"/>
          <w:sz w:val="32"/>
          <w:szCs w:val="32"/>
          <w:lang w:val="en-US" w:eastAsia="zh-CN"/>
        </w:rPr>
        <w:t>项目支出减少</w:t>
      </w:r>
      <w:r>
        <w:rPr>
          <w:rFonts w:hint="eastAsia" w:ascii="仿宋_GB2312" w:hAnsi="ˎ̥" w:eastAsia="仿宋_GB2312"/>
          <w:sz w:val="32"/>
          <w:szCs w:val="32"/>
        </w:rPr>
        <w:t>。</w:t>
      </w:r>
    </w:p>
    <w:p>
      <w:pPr>
        <w:spacing w:line="57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年度政府性基金预算财政拨</w:t>
      </w:r>
      <w:r>
        <w:rPr>
          <w:rFonts w:hint="eastAsia" w:ascii="仿宋_GB2312" w:hAnsi="ˎ̥" w:eastAsia="仿宋_GB2312"/>
          <w:color w:val="auto"/>
          <w:sz w:val="32"/>
          <w:szCs w:val="32"/>
        </w:rPr>
        <w:t>款支出</w:t>
      </w:r>
      <w:r>
        <w:rPr>
          <w:rFonts w:hint="eastAsia" w:ascii="仿宋_GB2312" w:hAnsi="ˎ̥" w:eastAsia="仿宋_GB2312"/>
          <w:color w:val="auto"/>
          <w:sz w:val="32"/>
          <w:szCs w:val="32"/>
          <w:lang w:val="en-US" w:eastAsia="zh-CN"/>
        </w:rPr>
        <w:t>1.22</w:t>
      </w:r>
      <w:r>
        <w:rPr>
          <w:rFonts w:hint="eastAsia" w:ascii="仿宋_GB2312" w:hAnsi="ˎ̥" w:eastAsia="仿宋_GB2312"/>
          <w:color w:val="auto"/>
          <w:sz w:val="32"/>
          <w:szCs w:val="32"/>
        </w:rPr>
        <w:t>元，主要用于以下方面：</w:t>
      </w:r>
      <w:r>
        <w:rPr>
          <w:rFonts w:hint="eastAsia" w:ascii="仿宋_GB2312" w:hAnsi="ˎ̥" w:eastAsia="仿宋_GB2312"/>
          <w:color w:val="auto"/>
          <w:sz w:val="32"/>
          <w:szCs w:val="32"/>
          <w:lang w:val="en-US" w:eastAsia="zh-CN"/>
        </w:rPr>
        <w:t>其他</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1.22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spacing w:line="57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年度政府性基金预算财政拨款支出年初预算</w:t>
      </w:r>
      <w:r>
        <w:rPr>
          <w:rFonts w:hint="eastAsia" w:ascii="仿宋_GB2312" w:hAnsi="ˎ̥" w:eastAsia="仿宋_GB2312"/>
          <w:color w:val="auto"/>
          <w:sz w:val="32"/>
          <w:szCs w:val="32"/>
        </w:rPr>
        <w:t>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1.22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仿宋_GB2312" w:hAnsi="ˎ̥" w:eastAsia="仿宋_GB2312"/>
          <w:color w:val="auto"/>
          <w:sz w:val="32"/>
          <w:szCs w:val="32"/>
          <w:lang w:val="en-US" w:eastAsia="zh-CN"/>
        </w:rPr>
        <w:t>我单位无国有资本经营预算。</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我单位无财政拨款“三公”经费支出。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根据预算管理要求，我部门（单位）组织对</w:t>
      </w: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度一般公共预算项目支出全面开展绩效自评。项目</w:t>
      </w:r>
      <w:r>
        <w:rPr>
          <w:rFonts w:hint="eastAsia" w:ascii="仿宋_GB2312" w:hAnsi="ˎ̥" w:eastAsia="仿宋_GB2312"/>
          <w:color w:val="auto"/>
          <w:sz w:val="32"/>
          <w:szCs w:val="32"/>
          <w:lang w:val="en-US" w:eastAsia="zh-CN"/>
        </w:rPr>
        <w:t>18</w:t>
      </w:r>
      <w:r>
        <w:rPr>
          <w:rFonts w:hint="eastAsia" w:ascii="仿宋_GB2312" w:hAnsi="ˎ̥" w:eastAsia="仿宋_GB2312"/>
          <w:color w:val="auto"/>
          <w:sz w:val="32"/>
          <w:szCs w:val="32"/>
        </w:rPr>
        <w:t>个，共涉及资金</w:t>
      </w:r>
      <w:r>
        <w:rPr>
          <w:rFonts w:hint="eastAsia" w:ascii="仿宋_GB2312" w:hAnsi="ˎ̥" w:eastAsia="仿宋_GB2312"/>
          <w:color w:val="auto"/>
          <w:sz w:val="32"/>
          <w:szCs w:val="32"/>
          <w:lang w:val="en-US" w:eastAsia="zh-CN"/>
        </w:rPr>
        <w:t>162.97</w:t>
      </w:r>
      <w:r>
        <w:rPr>
          <w:rFonts w:hint="eastAsia" w:ascii="仿宋_GB2312" w:hAnsi="ˎ̥" w:eastAsia="仿宋_GB2312"/>
          <w:color w:val="auto"/>
          <w:sz w:val="32"/>
          <w:szCs w:val="32"/>
        </w:rPr>
        <w:t>万元，占一般公共预算项目支出总额的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从评价情况来看，项目立项程序规范完整，绩效目标设置合理，与实际需求相符，项目业务管理制度健全，质量管控措施有效，各项业务工作有效开展，项目财务管理制度完善，资金使用规范有效，项目预期的绩效目标完成率高，均达到了预期效果，完成质量达到标准要求，时效性强，效益显著。</w:t>
      </w:r>
    </w:p>
    <w:p>
      <w:pPr>
        <w:spacing w:line="578" w:lineRule="exact"/>
        <w:rPr>
          <w:rFonts w:hint="eastAsia" w:ascii="仿宋_GB2312" w:hAnsi="ˎ̥" w:eastAsia="仿宋_GB2312"/>
          <w:color w:val="auto"/>
          <w:sz w:val="32"/>
          <w:szCs w:val="32"/>
          <w:lang w:val="en-US" w:eastAsia="zh-CN"/>
        </w:rPr>
        <w:sectPr>
          <w:pgSz w:w="11906" w:h="16838"/>
          <w:pgMar w:top="2098" w:right="1474" w:bottom="1984" w:left="1587" w:header="851" w:footer="992" w:gutter="0"/>
          <w:cols w:space="720" w:num="1"/>
          <w:docGrid w:type="lines" w:linePitch="312" w:charSpace="0"/>
        </w:sect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45"/>
        <w:gridCol w:w="1046"/>
        <w:gridCol w:w="1591"/>
        <w:gridCol w:w="964"/>
        <w:gridCol w:w="1046"/>
        <w:gridCol w:w="892"/>
        <w:gridCol w:w="990"/>
        <w:gridCol w:w="852"/>
        <w:gridCol w:w="1522"/>
        <w:gridCol w:w="808"/>
        <w:gridCol w:w="808"/>
        <w:gridCol w:w="1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b/>
                <w:i w:val="0"/>
                <w:color w:val="000000"/>
                <w:sz w:val="40"/>
                <w:szCs w:val="40"/>
                <w:u w:val="none"/>
              </w:rPr>
            </w:pPr>
            <w:r>
              <w:rPr>
                <w:rFonts w:hint="eastAsia" w:ascii="等线" w:hAnsi="等线" w:eastAsia="等线" w:cs="等线"/>
                <w:b/>
                <w:i w:val="0"/>
                <w:color w:val="000000"/>
                <w:kern w:val="0"/>
                <w:sz w:val="40"/>
                <w:szCs w:val="40"/>
                <w:u w:val="none"/>
                <w:lang w:val="en-US" w:eastAsia="zh-CN" w:bidi="ar"/>
              </w:rPr>
              <w:t xml:space="preserve">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2"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项目名称:</w:t>
            </w:r>
          </w:p>
        </w:tc>
        <w:tc>
          <w:tcPr>
            <w:tcW w:w="140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54042324T000001879675-中层管理人员岗位津贴</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填报人:</w:t>
            </w:r>
          </w:p>
        </w:tc>
        <w:tc>
          <w:tcPr>
            <w:tcW w:w="106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次仁尼玛</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联系方式:</w:t>
            </w:r>
          </w:p>
        </w:tc>
        <w:tc>
          <w:tcPr>
            <w:tcW w:w="110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主管部门:</w:t>
            </w:r>
          </w:p>
        </w:tc>
        <w:tc>
          <w:tcPr>
            <w:tcW w:w="140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105-墨脱县教育局</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实施单位:</w:t>
            </w:r>
          </w:p>
        </w:tc>
        <w:tc>
          <w:tcPr>
            <w:tcW w:w="277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105025-墨脱县达木乡小学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资金构成(元)</w:t>
            </w:r>
          </w:p>
        </w:tc>
        <w:tc>
          <w:tcPr>
            <w:tcW w:w="622"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年初预算数</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全年预算数</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执行数</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分值</w:t>
            </w:r>
          </w:p>
        </w:tc>
        <w:tc>
          <w:tcPr>
            <w:tcW w:w="31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执行率（%）</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资金总额：</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65,400.00</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64,206.80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 xml:space="preserve">10.00 </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98.18</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其中：财政资金：</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65,400.00</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64,206.80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98.18</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单位资金：</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1664" w:type="pct"/>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财政专户管理资金：</w:t>
            </w:r>
          </w:p>
        </w:tc>
        <w:tc>
          <w:tcPr>
            <w:tcW w:w="6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166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222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年度目标</w:t>
            </w:r>
          </w:p>
        </w:tc>
        <w:tc>
          <w:tcPr>
            <w:tcW w:w="277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78" w:hRule="atLeast"/>
        </w:trPr>
        <w:tc>
          <w:tcPr>
            <w:tcW w:w="222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激发管理人员的工作热情，提升管理人员的工作水平，使学校的各项工作更上一层。</w:t>
            </w:r>
          </w:p>
        </w:tc>
        <w:tc>
          <w:tcPr>
            <w:tcW w:w="277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已按学校的方案要求，发放管理人员津贴，提高管理人员的工作热情，有效提升了工作水平。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一级指标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二级指标</w:t>
            </w: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三级指标</w:t>
            </w:r>
          </w:p>
        </w:tc>
        <w:tc>
          <w:tcPr>
            <w:tcW w:w="409"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指标性质</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年度指标值</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度量单位</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实际完成值</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完成率</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分值</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得分</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数量指标</w:t>
            </w: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享受校长、党支部书记岗位津贴人数</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人</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数量指标</w:t>
            </w: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享受中层管理、副班主任岗位津贴人数</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14</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人</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14</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质量指标</w:t>
            </w: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管理人员岗位津贴发放率</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质量指标</w:t>
            </w: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以津贴鼓励教师在教育教学及管理上更加积极主动。</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定性</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高</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高</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基本达成目标</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时效指标</w:t>
            </w: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按时落实到各个管理岗位人员身上及时性</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时效指标</w:t>
            </w: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落实补助年份</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2024</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年</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2024</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成本指标</w:t>
            </w: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校长、支部书记岗位津贴标准</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6109</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元/人年</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6109</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成本指标</w:t>
            </w: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中层管理员、班主任岗位津贴标准</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2457</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元/人·次</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2457</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效益指标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经济效益指标</w:t>
            </w: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保障管理人员岗位津贴福利</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效益指标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社会效益指标</w:t>
            </w: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学校管理水平逐步提高，取得了良好的社会效益</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定性</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好</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等线" w:hAnsi="等线" w:eastAsia="等线" w:cs="等线"/>
                <w:i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好</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基本达成目标</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满意度指标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服务对象满意度指标</w:t>
            </w:r>
          </w:p>
        </w:tc>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管理人员满意度</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389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合计</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99.82</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bl>
    <w:p>
      <w:pPr>
        <w:spacing w:line="578" w:lineRule="exact"/>
        <w:rPr>
          <w:rFonts w:hint="eastAsia" w:ascii="仿宋_GB2312" w:hAnsi="ˎ̥" w:eastAsia="仿宋_GB2312"/>
          <w:color w:val="auto"/>
          <w:sz w:val="32"/>
          <w:szCs w:val="32"/>
          <w:lang w:val="en-US" w:eastAsia="zh-CN"/>
        </w:rPr>
        <w:sectPr>
          <w:pgSz w:w="16838" w:h="11906" w:orient="landscape"/>
          <w:pgMar w:top="1587" w:right="2098" w:bottom="1474" w:left="1984"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bookmarkStart w:id="88" w:name="_GoBack"/>
      <w:bookmarkEnd w:id="88"/>
      <w:r>
        <w:rPr>
          <w:rFonts w:hint="eastAsia" w:ascii="黑体" w:hAnsi="黑体" w:eastAsia="黑体" w:cs="黑体"/>
          <w:bCs/>
          <w:color w:val="auto"/>
          <w:sz w:val="32"/>
          <w:szCs w:val="32"/>
        </w:rPr>
        <w:t>十一、其他重要事项情况说明</w:t>
      </w:r>
    </w:p>
    <w:p>
      <w:pPr>
        <w:spacing w:line="578" w:lineRule="exact"/>
        <w:ind w:firstLine="640" w:firstLineChars="200"/>
        <w:outlineLvl w:val="1"/>
        <w:rPr>
          <w:rFonts w:hint="eastAsia" w:ascii="楷体" w:hAnsi="楷体" w:eastAsia="楷体" w:cs="楷体"/>
          <w:bCs/>
          <w:color w:val="auto"/>
          <w:sz w:val="32"/>
          <w:szCs w:val="32"/>
        </w:rPr>
      </w:pPr>
      <w:bookmarkStart w:id="61" w:name="_Toc27924"/>
      <w:bookmarkStart w:id="62" w:name="_Toc23598_WPSOffice_Level2"/>
      <w:bookmarkStart w:id="63" w:name="_Toc32639_WPSOffice_Level2"/>
      <w:bookmarkStart w:id="64" w:name="_Toc15565_WPSOffice_Level2"/>
      <w:bookmarkStart w:id="65" w:name="_Toc15262_WPSOffice_Level2"/>
      <w:bookmarkStart w:id="66" w:name="_Toc18325_WPSOffice_Level2"/>
      <w:bookmarkStart w:id="67" w:name="_Toc5978_WPSOffice_Level2"/>
      <w:bookmarkStart w:id="68" w:name="_Toc17580_WPSOffice_Level1"/>
      <w:bookmarkStart w:id="69" w:name="_Toc4398_WPSOffice_Level1"/>
      <w:bookmarkStart w:id="70" w:name="_Toc11039_WPSOffice_Level1"/>
      <w:bookmarkStart w:id="71" w:name="_Toc15425_WPSOffice_Level1"/>
      <w:bookmarkStart w:id="72" w:name="_Toc8808_WPSOffice_Level1"/>
      <w:bookmarkStart w:id="73" w:name="_Toc8874_WPSOffice_Level1"/>
      <w:r>
        <w:rPr>
          <w:rFonts w:hint="eastAsia" w:ascii="楷体" w:hAnsi="楷体" w:eastAsia="楷体" w:cs="楷体"/>
          <w:bCs/>
          <w:color w:val="auto"/>
          <w:sz w:val="32"/>
          <w:szCs w:val="32"/>
        </w:rPr>
        <w:t>（一）机关运行经费支出情况。</w:t>
      </w:r>
      <w:bookmarkEnd w:id="61"/>
      <w:bookmarkEnd w:id="62"/>
      <w:bookmarkEnd w:id="63"/>
      <w:bookmarkEnd w:id="64"/>
      <w:bookmarkEnd w:id="65"/>
      <w:bookmarkEnd w:id="66"/>
      <w:bookmarkEnd w:id="67"/>
    </w:p>
    <w:p>
      <w:pPr>
        <w:spacing w:line="578" w:lineRule="exact"/>
        <w:ind w:firstLine="640" w:firstLineChars="200"/>
        <w:rPr>
          <w:rFonts w:hint="default" w:ascii="仿宋_GB2312" w:hAnsi="ˎ̥" w:eastAsia="仿宋_GB2312"/>
          <w:color w:val="auto"/>
          <w:sz w:val="32"/>
          <w:szCs w:val="32"/>
          <w:lang w:val="en-US" w:eastAsia="zh-CN"/>
        </w:rPr>
      </w:pPr>
      <w:bookmarkStart w:id="74" w:name="_Toc3131_WPSOffice_Level2"/>
      <w:bookmarkStart w:id="75" w:name="_Toc13084_WPSOffice_Level2"/>
      <w:bookmarkStart w:id="76" w:name="_Toc32689_WPSOffice_Level2"/>
      <w:bookmarkStart w:id="77" w:name="_Toc23966_WPSOffice_Level2"/>
      <w:bookmarkStart w:id="78" w:name="_Toc30383_WPSOffice_Level2"/>
      <w:bookmarkStart w:id="79" w:name="_Toc25333_WPSOffice_Level2"/>
      <w:bookmarkStart w:id="80" w:name="_Toc26632"/>
      <w:r>
        <w:rPr>
          <w:rFonts w:hint="eastAsia" w:ascii="仿宋_GB2312" w:hAnsi="ˎ̥" w:eastAsia="仿宋_GB2312"/>
          <w:color w:val="auto"/>
          <w:sz w:val="32"/>
          <w:szCs w:val="32"/>
          <w:lang w:val="en-US" w:eastAsia="zh-CN"/>
        </w:rPr>
        <w:t>2024年度我部门无</w:t>
      </w:r>
      <w:r>
        <w:rPr>
          <w:rFonts w:hint="eastAsia" w:ascii="仿宋_GB2312" w:hAnsi="ˎ̥" w:eastAsia="仿宋_GB2312"/>
          <w:color w:val="auto"/>
          <w:sz w:val="32"/>
          <w:szCs w:val="32"/>
          <w:lang w:eastAsia="zh-CN"/>
        </w:rPr>
        <w:t>机关运行经费支出。</w:t>
      </w:r>
    </w:p>
    <w:p>
      <w:pPr>
        <w:spacing w:line="578" w:lineRule="exact"/>
        <w:ind w:firstLine="640" w:firstLineChars="200"/>
        <w:outlineLvl w:val="1"/>
        <w:rPr>
          <w:rFonts w:hint="eastAsia" w:ascii="楷体" w:hAnsi="楷体" w:eastAsia="楷体" w:cs="楷体"/>
          <w:bCs/>
          <w:color w:val="auto"/>
          <w:sz w:val="32"/>
          <w:szCs w:val="32"/>
        </w:rPr>
      </w:pPr>
      <w:r>
        <w:rPr>
          <w:rFonts w:hint="eastAsia" w:ascii="楷体" w:hAnsi="楷体" w:eastAsia="楷体" w:cs="楷体"/>
          <w:bCs/>
          <w:color w:val="auto"/>
          <w:sz w:val="32"/>
          <w:szCs w:val="32"/>
        </w:rPr>
        <w:t>（二）政府采购支出情况。</w:t>
      </w:r>
      <w:bookmarkEnd w:id="74"/>
      <w:bookmarkEnd w:id="75"/>
      <w:bookmarkEnd w:id="76"/>
      <w:bookmarkEnd w:id="77"/>
      <w:bookmarkEnd w:id="78"/>
      <w:bookmarkEnd w:id="79"/>
      <w:bookmarkEnd w:id="80"/>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w:t>
      </w:r>
      <w:r>
        <w:rPr>
          <w:rFonts w:hint="eastAsia" w:ascii="仿宋_GB2312" w:hAnsi="ˎ̥" w:eastAsia="仿宋_GB2312"/>
          <w:color w:val="auto"/>
          <w:sz w:val="32"/>
          <w:szCs w:val="32"/>
          <w:lang w:val="en-US" w:eastAsia="zh-CN"/>
        </w:rPr>
        <w:t>我部门无</w:t>
      </w:r>
      <w:r>
        <w:rPr>
          <w:rFonts w:hint="eastAsia" w:ascii="仿宋_GB2312" w:hAnsi="ˎ̥" w:eastAsia="仿宋_GB2312"/>
          <w:color w:val="auto"/>
          <w:sz w:val="32"/>
          <w:szCs w:val="32"/>
        </w:rPr>
        <w:t>政府采购支出。</w:t>
      </w:r>
    </w:p>
    <w:p>
      <w:pPr>
        <w:spacing w:line="578" w:lineRule="exact"/>
        <w:ind w:firstLine="640" w:firstLineChars="200"/>
        <w:outlineLvl w:val="1"/>
        <w:rPr>
          <w:rFonts w:hint="eastAsia" w:ascii="楷体" w:hAnsi="楷体" w:eastAsia="楷体" w:cs="楷体"/>
          <w:bCs/>
          <w:color w:val="auto"/>
          <w:sz w:val="32"/>
          <w:szCs w:val="32"/>
        </w:rPr>
      </w:pPr>
      <w:bookmarkStart w:id="81" w:name="_Toc10902_WPSOffice_Level2"/>
      <w:bookmarkStart w:id="82" w:name="_Toc527_WPSOffice_Level2"/>
      <w:bookmarkStart w:id="83" w:name="_Toc29584_WPSOffice_Level2"/>
      <w:bookmarkStart w:id="84" w:name="_Toc15129_WPSOffice_Level2"/>
      <w:bookmarkStart w:id="85" w:name="_Toc6016_WPSOffice_Level2"/>
      <w:bookmarkStart w:id="86" w:name="_Toc19989_WPSOffice_Level2"/>
      <w:bookmarkStart w:id="87" w:name="_Toc23489"/>
      <w:r>
        <w:rPr>
          <w:rFonts w:hint="eastAsia" w:ascii="楷体" w:hAnsi="楷体" w:eastAsia="楷体" w:cs="楷体"/>
          <w:bCs/>
          <w:color w:val="auto"/>
          <w:sz w:val="32"/>
          <w:szCs w:val="32"/>
        </w:rPr>
        <w:t>（三）国有资产占用情况。</w:t>
      </w:r>
      <w:bookmarkEnd w:id="81"/>
      <w:bookmarkEnd w:id="82"/>
      <w:bookmarkEnd w:id="83"/>
      <w:bookmarkEnd w:id="84"/>
      <w:bookmarkEnd w:id="85"/>
      <w:bookmarkEnd w:id="86"/>
      <w:bookmarkEnd w:id="87"/>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w:t>
      </w:r>
      <w:r>
        <w:rPr>
          <w:rFonts w:hint="eastAsia" w:ascii="仿宋_GB2312" w:hAnsi="ˎ̥" w:eastAsia="仿宋_GB2312"/>
          <w:color w:val="auto"/>
          <w:sz w:val="32"/>
          <w:szCs w:val="32"/>
          <w:lang w:val="en-US" w:eastAsia="zh-CN"/>
        </w:rPr>
        <w:t>我部门</w:t>
      </w:r>
      <w:r>
        <w:rPr>
          <w:rFonts w:hint="eastAsia" w:ascii="仿宋_GB2312" w:hAnsi="ˎ̥" w:eastAsia="仿宋_GB2312"/>
          <w:color w:val="auto"/>
          <w:sz w:val="32"/>
          <w:szCs w:val="32"/>
          <w:lang w:eastAsia="zh-CN"/>
        </w:rPr>
        <w:t>国有资产占用情况。</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68"/>
      <w:bookmarkEnd w:id="69"/>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bookmarkEnd w:id="31"/>
    <w:bookmarkEnd w:id="32"/>
    <w:bookmarkEnd w:id="33"/>
    <w:bookmarkEnd w:id="34"/>
    <w:bookmarkEnd w:id="35"/>
    <w:bookmarkEnd w:id="36"/>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7D188"/>
    <w:multiLevelType w:val="singleLevel"/>
    <w:tmpl w:val="99C7D188"/>
    <w:lvl w:ilvl="0" w:tentative="0">
      <w:start w:val="2"/>
      <w:numFmt w:val="chineseCounting"/>
      <w:suff w:val="space"/>
      <w:lvlText w:val="第%1部分"/>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false"/>
  <w:bordersDoNotSurroundFooter w:val="false"/>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00172A27"/>
    <w:rsid w:val="00064A91"/>
    <w:rsid w:val="000718C4"/>
    <w:rsid w:val="000779B0"/>
    <w:rsid w:val="000C11D5"/>
    <w:rsid w:val="0012534A"/>
    <w:rsid w:val="001E4E23"/>
    <w:rsid w:val="001E510D"/>
    <w:rsid w:val="001F28C1"/>
    <w:rsid w:val="001F4EC0"/>
    <w:rsid w:val="00213789"/>
    <w:rsid w:val="002A6E07"/>
    <w:rsid w:val="0034456B"/>
    <w:rsid w:val="003C6369"/>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40CE3"/>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1922A7"/>
    <w:rsid w:val="014C50ED"/>
    <w:rsid w:val="01741A3C"/>
    <w:rsid w:val="01924D7B"/>
    <w:rsid w:val="01BD0674"/>
    <w:rsid w:val="01E44B90"/>
    <w:rsid w:val="01FC2149"/>
    <w:rsid w:val="02487F4D"/>
    <w:rsid w:val="029324ED"/>
    <w:rsid w:val="02BD31A7"/>
    <w:rsid w:val="03144883"/>
    <w:rsid w:val="03353CA7"/>
    <w:rsid w:val="03671B82"/>
    <w:rsid w:val="03CA5715"/>
    <w:rsid w:val="047749EB"/>
    <w:rsid w:val="05041340"/>
    <w:rsid w:val="051C3BBF"/>
    <w:rsid w:val="05752CAA"/>
    <w:rsid w:val="05C80BB0"/>
    <w:rsid w:val="05E529DF"/>
    <w:rsid w:val="062214F8"/>
    <w:rsid w:val="065A192F"/>
    <w:rsid w:val="06800A63"/>
    <w:rsid w:val="07A6222D"/>
    <w:rsid w:val="07C86BA7"/>
    <w:rsid w:val="07CD4557"/>
    <w:rsid w:val="08792B5F"/>
    <w:rsid w:val="08CE3A2F"/>
    <w:rsid w:val="09087051"/>
    <w:rsid w:val="09160752"/>
    <w:rsid w:val="09201287"/>
    <w:rsid w:val="0AAD72F9"/>
    <w:rsid w:val="0AAE4D33"/>
    <w:rsid w:val="0AE05360"/>
    <w:rsid w:val="0AE35A88"/>
    <w:rsid w:val="0B054D9F"/>
    <w:rsid w:val="0B2E6267"/>
    <w:rsid w:val="0B471084"/>
    <w:rsid w:val="0B8A576B"/>
    <w:rsid w:val="0BAA1C30"/>
    <w:rsid w:val="0BEB1F5D"/>
    <w:rsid w:val="0C034C8F"/>
    <w:rsid w:val="0C126CD9"/>
    <w:rsid w:val="0C2E41D9"/>
    <w:rsid w:val="0C7B2006"/>
    <w:rsid w:val="0C864CFC"/>
    <w:rsid w:val="0CA35E42"/>
    <w:rsid w:val="0CE204EF"/>
    <w:rsid w:val="0D065DF0"/>
    <w:rsid w:val="0D882197"/>
    <w:rsid w:val="0DB667E1"/>
    <w:rsid w:val="0DE85904"/>
    <w:rsid w:val="0E184DC9"/>
    <w:rsid w:val="0E4B2FA6"/>
    <w:rsid w:val="0E851594"/>
    <w:rsid w:val="0E946EB4"/>
    <w:rsid w:val="0F065F2F"/>
    <w:rsid w:val="0F49256B"/>
    <w:rsid w:val="0FC80124"/>
    <w:rsid w:val="0FD151F6"/>
    <w:rsid w:val="0FD31911"/>
    <w:rsid w:val="0FF06EB0"/>
    <w:rsid w:val="101D286A"/>
    <w:rsid w:val="104C416C"/>
    <w:rsid w:val="107104E5"/>
    <w:rsid w:val="10AA7EE9"/>
    <w:rsid w:val="10B469FA"/>
    <w:rsid w:val="10CA3F8E"/>
    <w:rsid w:val="11132000"/>
    <w:rsid w:val="11693817"/>
    <w:rsid w:val="11945B15"/>
    <w:rsid w:val="11945D9A"/>
    <w:rsid w:val="11AB626C"/>
    <w:rsid w:val="11B13D2E"/>
    <w:rsid w:val="121C3A7E"/>
    <w:rsid w:val="121C49D6"/>
    <w:rsid w:val="12613FB1"/>
    <w:rsid w:val="12A81505"/>
    <w:rsid w:val="12CB0405"/>
    <w:rsid w:val="13071936"/>
    <w:rsid w:val="131331C1"/>
    <w:rsid w:val="131503EF"/>
    <w:rsid w:val="132B690D"/>
    <w:rsid w:val="134336CC"/>
    <w:rsid w:val="136F98C7"/>
    <w:rsid w:val="13D62796"/>
    <w:rsid w:val="13DB5B34"/>
    <w:rsid w:val="13E6681A"/>
    <w:rsid w:val="140218C6"/>
    <w:rsid w:val="1494185A"/>
    <w:rsid w:val="14A709DB"/>
    <w:rsid w:val="14C23C26"/>
    <w:rsid w:val="14DD2775"/>
    <w:rsid w:val="14F17710"/>
    <w:rsid w:val="14FD7C13"/>
    <w:rsid w:val="154C47EC"/>
    <w:rsid w:val="15582F56"/>
    <w:rsid w:val="15CE3F87"/>
    <w:rsid w:val="15DA139F"/>
    <w:rsid w:val="15FC4608"/>
    <w:rsid w:val="16137016"/>
    <w:rsid w:val="162E0890"/>
    <w:rsid w:val="163A3ADA"/>
    <w:rsid w:val="1659747D"/>
    <w:rsid w:val="16742122"/>
    <w:rsid w:val="16946D1A"/>
    <w:rsid w:val="16AA6BDE"/>
    <w:rsid w:val="16BE7989"/>
    <w:rsid w:val="17427E68"/>
    <w:rsid w:val="1755065F"/>
    <w:rsid w:val="17560A1D"/>
    <w:rsid w:val="17967775"/>
    <w:rsid w:val="1832346D"/>
    <w:rsid w:val="186A722D"/>
    <w:rsid w:val="191C1625"/>
    <w:rsid w:val="191F2D37"/>
    <w:rsid w:val="194C38F4"/>
    <w:rsid w:val="199514FC"/>
    <w:rsid w:val="19DD4C94"/>
    <w:rsid w:val="19E00108"/>
    <w:rsid w:val="19F76D88"/>
    <w:rsid w:val="1A2266E4"/>
    <w:rsid w:val="1A2649D5"/>
    <w:rsid w:val="1AFC29C9"/>
    <w:rsid w:val="1B251E30"/>
    <w:rsid w:val="1B2F6F9F"/>
    <w:rsid w:val="1B650AE6"/>
    <w:rsid w:val="1BBD6311"/>
    <w:rsid w:val="1C323ABD"/>
    <w:rsid w:val="1C3A3D5E"/>
    <w:rsid w:val="1CA52F2E"/>
    <w:rsid w:val="1CEA2513"/>
    <w:rsid w:val="1CF20597"/>
    <w:rsid w:val="1D253502"/>
    <w:rsid w:val="1D434B02"/>
    <w:rsid w:val="1D856681"/>
    <w:rsid w:val="1DC15CE9"/>
    <w:rsid w:val="1DE96D51"/>
    <w:rsid w:val="1DFE370B"/>
    <w:rsid w:val="1E2A15AE"/>
    <w:rsid w:val="1E3630B9"/>
    <w:rsid w:val="1E872024"/>
    <w:rsid w:val="1F0D4AC3"/>
    <w:rsid w:val="1F5758A1"/>
    <w:rsid w:val="1F852988"/>
    <w:rsid w:val="1F9B5B51"/>
    <w:rsid w:val="1FD008F3"/>
    <w:rsid w:val="1FFF6B02"/>
    <w:rsid w:val="204769DE"/>
    <w:rsid w:val="20584B21"/>
    <w:rsid w:val="20D504E9"/>
    <w:rsid w:val="20E30473"/>
    <w:rsid w:val="215A3256"/>
    <w:rsid w:val="21850FDE"/>
    <w:rsid w:val="228918E2"/>
    <w:rsid w:val="22A55F7B"/>
    <w:rsid w:val="22E5204E"/>
    <w:rsid w:val="22FE77F1"/>
    <w:rsid w:val="239C5E39"/>
    <w:rsid w:val="23A14BBA"/>
    <w:rsid w:val="23F93F53"/>
    <w:rsid w:val="240C319D"/>
    <w:rsid w:val="24530192"/>
    <w:rsid w:val="24752B52"/>
    <w:rsid w:val="24BE1914"/>
    <w:rsid w:val="24CE1297"/>
    <w:rsid w:val="24D6412C"/>
    <w:rsid w:val="24DF6036"/>
    <w:rsid w:val="25083F98"/>
    <w:rsid w:val="2541423A"/>
    <w:rsid w:val="261C6066"/>
    <w:rsid w:val="265F26D7"/>
    <w:rsid w:val="26E60DB1"/>
    <w:rsid w:val="26EEC2B5"/>
    <w:rsid w:val="26FC44EE"/>
    <w:rsid w:val="26FC5B1D"/>
    <w:rsid w:val="27F759AC"/>
    <w:rsid w:val="2818523C"/>
    <w:rsid w:val="285E1DC9"/>
    <w:rsid w:val="287A3D96"/>
    <w:rsid w:val="29033822"/>
    <w:rsid w:val="29472309"/>
    <w:rsid w:val="29BB47EF"/>
    <w:rsid w:val="29DF3E16"/>
    <w:rsid w:val="2A2B000D"/>
    <w:rsid w:val="2A353C72"/>
    <w:rsid w:val="2A587431"/>
    <w:rsid w:val="2A916356"/>
    <w:rsid w:val="2AC16E4B"/>
    <w:rsid w:val="2ACF5380"/>
    <w:rsid w:val="2AE22BBA"/>
    <w:rsid w:val="2AEB76F1"/>
    <w:rsid w:val="2B406E77"/>
    <w:rsid w:val="2B5A335B"/>
    <w:rsid w:val="2B9E4D5E"/>
    <w:rsid w:val="2BA84A35"/>
    <w:rsid w:val="2BA95A66"/>
    <w:rsid w:val="2BBE1D43"/>
    <w:rsid w:val="2BDD10DC"/>
    <w:rsid w:val="2BE96243"/>
    <w:rsid w:val="2BF74B2A"/>
    <w:rsid w:val="2C170512"/>
    <w:rsid w:val="2C1E3812"/>
    <w:rsid w:val="2C2921BD"/>
    <w:rsid w:val="2C2A0C43"/>
    <w:rsid w:val="2C641E89"/>
    <w:rsid w:val="2C76651F"/>
    <w:rsid w:val="2CA8737F"/>
    <w:rsid w:val="2CDC69CA"/>
    <w:rsid w:val="2D1621AB"/>
    <w:rsid w:val="2D1E73A5"/>
    <w:rsid w:val="2D470B23"/>
    <w:rsid w:val="2D8F5340"/>
    <w:rsid w:val="2DEB3A28"/>
    <w:rsid w:val="2E31536C"/>
    <w:rsid w:val="2E6565C2"/>
    <w:rsid w:val="2E9A0B35"/>
    <w:rsid w:val="2EAB5181"/>
    <w:rsid w:val="2EC57107"/>
    <w:rsid w:val="2ED135A7"/>
    <w:rsid w:val="2EDF0F08"/>
    <w:rsid w:val="2EEC389E"/>
    <w:rsid w:val="2F4120D1"/>
    <w:rsid w:val="2F5C08E5"/>
    <w:rsid w:val="3044310A"/>
    <w:rsid w:val="30807CA4"/>
    <w:rsid w:val="30F641E8"/>
    <w:rsid w:val="310419E1"/>
    <w:rsid w:val="31586457"/>
    <w:rsid w:val="317130B9"/>
    <w:rsid w:val="317D7C5F"/>
    <w:rsid w:val="31D92244"/>
    <w:rsid w:val="3234519E"/>
    <w:rsid w:val="32390A7C"/>
    <w:rsid w:val="326C07E9"/>
    <w:rsid w:val="32717154"/>
    <w:rsid w:val="32CA1ADC"/>
    <w:rsid w:val="332351BA"/>
    <w:rsid w:val="332E4AAE"/>
    <w:rsid w:val="33D26081"/>
    <w:rsid w:val="3400743E"/>
    <w:rsid w:val="3427797A"/>
    <w:rsid w:val="34B63260"/>
    <w:rsid w:val="34CB047A"/>
    <w:rsid w:val="351D5933"/>
    <w:rsid w:val="35516992"/>
    <w:rsid w:val="3573699D"/>
    <w:rsid w:val="35F46956"/>
    <w:rsid w:val="36281514"/>
    <w:rsid w:val="36B36EF9"/>
    <w:rsid w:val="36BC5BAE"/>
    <w:rsid w:val="36C362B5"/>
    <w:rsid w:val="36F937B6"/>
    <w:rsid w:val="377D73BE"/>
    <w:rsid w:val="37FDA7E2"/>
    <w:rsid w:val="38192195"/>
    <w:rsid w:val="38394584"/>
    <w:rsid w:val="384B2632"/>
    <w:rsid w:val="385A1373"/>
    <w:rsid w:val="385D21A0"/>
    <w:rsid w:val="38697ACF"/>
    <w:rsid w:val="38B91761"/>
    <w:rsid w:val="39435BA9"/>
    <w:rsid w:val="39A1696F"/>
    <w:rsid w:val="39DB681B"/>
    <w:rsid w:val="39DD4518"/>
    <w:rsid w:val="39EE78A8"/>
    <w:rsid w:val="3A314D88"/>
    <w:rsid w:val="3A656D10"/>
    <w:rsid w:val="3A746883"/>
    <w:rsid w:val="3A770CB9"/>
    <w:rsid w:val="3AA36088"/>
    <w:rsid w:val="3AD77AEE"/>
    <w:rsid w:val="3B3070F6"/>
    <w:rsid w:val="3B443201"/>
    <w:rsid w:val="3B5E3E17"/>
    <w:rsid w:val="3B76046C"/>
    <w:rsid w:val="3B7E6C33"/>
    <w:rsid w:val="3BA13919"/>
    <w:rsid w:val="3BB6462D"/>
    <w:rsid w:val="3BE92317"/>
    <w:rsid w:val="3BF04668"/>
    <w:rsid w:val="3BF36762"/>
    <w:rsid w:val="3C14475F"/>
    <w:rsid w:val="3C2D26D6"/>
    <w:rsid w:val="3C566C17"/>
    <w:rsid w:val="3C5F4E16"/>
    <w:rsid w:val="3CA15DE9"/>
    <w:rsid w:val="3D2F5C32"/>
    <w:rsid w:val="3D5F25B0"/>
    <w:rsid w:val="3D61147F"/>
    <w:rsid w:val="3D8B5E5F"/>
    <w:rsid w:val="3DC950E2"/>
    <w:rsid w:val="3DE17504"/>
    <w:rsid w:val="3E210B81"/>
    <w:rsid w:val="3EA20557"/>
    <w:rsid w:val="3EA82A4C"/>
    <w:rsid w:val="3EAC0549"/>
    <w:rsid w:val="3ED616A5"/>
    <w:rsid w:val="3F073AB6"/>
    <w:rsid w:val="3F3E4515"/>
    <w:rsid w:val="3FAD196A"/>
    <w:rsid w:val="3FE61EE5"/>
    <w:rsid w:val="40010245"/>
    <w:rsid w:val="400A0257"/>
    <w:rsid w:val="406508EE"/>
    <w:rsid w:val="4068578D"/>
    <w:rsid w:val="408D6263"/>
    <w:rsid w:val="40B5786F"/>
    <w:rsid w:val="40E9393E"/>
    <w:rsid w:val="41086485"/>
    <w:rsid w:val="412B0DA3"/>
    <w:rsid w:val="415573C2"/>
    <w:rsid w:val="416627DB"/>
    <w:rsid w:val="41786157"/>
    <w:rsid w:val="41887D25"/>
    <w:rsid w:val="41B40CEE"/>
    <w:rsid w:val="4299604D"/>
    <w:rsid w:val="431636FE"/>
    <w:rsid w:val="43732703"/>
    <w:rsid w:val="43BF4F41"/>
    <w:rsid w:val="43C663D5"/>
    <w:rsid w:val="43E077BD"/>
    <w:rsid w:val="43EF0F7A"/>
    <w:rsid w:val="43F22A80"/>
    <w:rsid w:val="44395162"/>
    <w:rsid w:val="44613685"/>
    <w:rsid w:val="446875D8"/>
    <w:rsid w:val="44864388"/>
    <w:rsid w:val="44DE7A3F"/>
    <w:rsid w:val="44E03403"/>
    <w:rsid w:val="45E9561A"/>
    <w:rsid w:val="45F52E3E"/>
    <w:rsid w:val="465D7AFE"/>
    <w:rsid w:val="467631A7"/>
    <w:rsid w:val="46900A5D"/>
    <w:rsid w:val="469E2CEC"/>
    <w:rsid w:val="46A1108D"/>
    <w:rsid w:val="46A447AE"/>
    <w:rsid w:val="46DA441E"/>
    <w:rsid w:val="46E53528"/>
    <w:rsid w:val="46E67E81"/>
    <w:rsid w:val="47566DB3"/>
    <w:rsid w:val="47691FCD"/>
    <w:rsid w:val="47BE62D6"/>
    <w:rsid w:val="48086987"/>
    <w:rsid w:val="48317291"/>
    <w:rsid w:val="48460EA5"/>
    <w:rsid w:val="485F7024"/>
    <w:rsid w:val="486B17CE"/>
    <w:rsid w:val="48712E23"/>
    <w:rsid w:val="487A687C"/>
    <w:rsid w:val="48D877F1"/>
    <w:rsid w:val="48E70666"/>
    <w:rsid w:val="493868DE"/>
    <w:rsid w:val="49716641"/>
    <w:rsid w:val="49766D0A"/>
    <w:rsid w:val="499910A3"/>
    <w:rsid w:val="49C173DC"/>
    <w:rsid w:val="49DB2741"/>
    <w:rsid w:val="49E25274"/>
    <w:rsid w:val="4A1C039D"/>
    <w:rsid w:val="4A3B039B"/>
    <w:rsid w:val="4A744D39"/>
    <w:rsid w:val="4B2125F4"/>
    <w:rsid w:val="4BEE4564"/>
    <w:rsid w:val="4BFC2CA0"/>
    <w:rsid w:val="4C0D473C"/>
    <w:rsid w:val="4C215BBF"/>
    <w:rsid w:val="4C2B26A3"/>
    <w:rsid w:val="4C6877E5"/>
    <w:rsid w:val="4CEB717D"/>
    <w:rsid w:val="4CF70F62"/>
    <w:rsid w:val="4D5F4F21"/>
    <w:rsid w:val="4D6A468D"/>
    <w:rsid w:val="4E307D23"/>
    <w:rsid w:val="4E3410BF"/>
    <w:rsid w:val="4E4E2DB0"/>
    <w:rsid w:val="4EA86137"/>
    <w:rsid w:val="4ED2574D"/>
    <w:rsid w:val="4F1973FE"/>
    <w:rsid w:val="4F706B7C"/>
    <w:rsid w:val="4F992A10"/>
    <w:rsid w:val="51016BC2"/>
    <w:rsid w:val="514315C5"/>
    <w:rsid w:val="514905BA"/>
    <w:rsid w:val="519D4FF3"/>
    <w:rsid w:val="51A05652"/>
    <w:rsid w:val="51C50160"/>
    <w:rsid w:val="51DA6CD8"/>
    <w:rsid w:val="51E21B4F"/>
    <w:rsid w:val="51E30280"/>
    <w:rsid w:val="52057D25"/>
    <w:rsid w:val="520842FA"/>
    <w:rsid w:val="521B504A"/>
    <w:rsid w:val="52301F99"/>
    <w:rsid w:val="528F178B"/>
    <w:rsid w:val="52B16063"/>
    <w:rsid w:val="531F2F47"/>
    <w:rsid w:val="534F05FD"/>
    <w:rsid w:val="53996C9C"/>
    <w:rsid w:val="53AE54CE"/>
    <w:rsid w:val="53B65C90"/>
    <w:rsid w:val="53DE4748"/>
    <w:rsid w:val="541D020F"/>
    <w:rsid w:val="542F1F2F"/>
    <w:rsid w:val="547477D2"/>
    <w:rsid w:val="54ED4BB7"/>
    <w:rsid w:val="554C40E7"/>
    <w:rsid w:val="55A87B8A"/>
    <w:rsid w:val="55E11F18"/>
    <w:rsid w:val="55E552CD"/>
    <w:rsid w:val="56037112"/>
    <w:rsid w:val="56104BF2"/>
    <w:rsid w:val="56225A8C"/>
    <w:rsid w:val="564C5AEC"/>
    <w:rsid w:val="565C3ED9"/>
    <w:rsid w:val="566F6DC6"/>
    <w:rsid w:val="56A72206"/>
    <w:rsid w:val="56CA7FD0"/>
    <w:rsid w:val="56F7427C"/>
    <w:rsid w:val="572F507A"/>
    <w:rsid w:val="5745027B"/>
    <w:rsid w:val="57FA38D1"/>
    <w:rsid w:val="58471724"/>
    <w:rsid w:val="585A35FA"/>
    <w:rsid w:val="589622B8"/>
    <w:rsid w:val="59301824"/>
    <w:rsid w:val="59973FBC"/>
    <w:rsid w:val="5A0F2093"/>
    <w:rsid w:val="5A2B5EF5"/>
    <w:rsid w:val="5AF3495B"/>
    <w:rsid w:val="5AF90702"/>
    <w:rsid w:val="5B5165E9"/>
    <w:rsid w:val="5BCD39CD"/>
    <w:rsid w:val="5BDF23FE"/>
    <w:rsid w:val="5C1F59AF"/>
    <w:rsid w:val="5CE56A0F"/>
    <w:rsid w:val="5D031DE9"/>
    <w:rsid w:val="5D111ED1"/>
    <w:rsid w:val="5D213B6E"/>
    <w:rsid w:val="5D760AF8"/>
    <w:rsid w:val="5D7B6AED"/>
    <w:rsid w:val="5DD8141A"/>
    <w:rsid w:val="5DF65B28"/>
    <w:rsid w:val="5E041752"/>
    <w:rsid w:val="5E7068EA"/>
    <w:rsid w:val="5E7900F6"/>
    <w:rsid w:val="5EA875AD"/>
    <w:rsid w:val="5EF75988"/>
    <w:rsid w:val="5EFA3F2F"/>
    <w:rsid w:val="5F2B6DD2"/>
    <w:rsid w:val="5F76315F"/>
    <w:rsid w:val="5F7D3333"/>
    <w:rsid w:val="5F973364"/>
    <w:rsid w:val="5FF501F7"/>
    <w:rsid w:val="5FFD0625"/>
    <w:rsid w:val="6019486A"/>
    <w:rsid w:val="609F7CCD"/>
    <w:rsid w:val="60AB1444"/>
    <w:rsid w:val="60C138E3"/>
    <w:rsid w:val="60C96D47"/>
    <w:rsid w:val="60CE4B9A"/>
    <w:rsid w:val="60F06516"/>
    <w:rsid w:val="611A363E"/>
    <w:rsid w:val="61385890"/>
    <w:rsid w:val="61E71BB1"/>
    <w:rsid w:val="626D0FD2"/>
    <w:rsid w:val="62913FBC"/>
    <w:rsid w:val="62F1225B"/>
    <w:rsid w:val="631B255D"/>
    <w:rsid w:val="63413B51"/>
    <w:rsid w:val="634F2F58"/>
    <w:rsid w:val="63A97597"/>
    <w:rsid w:val="63D82FED"/>
    <w:rsid w:val="64013CA9"/>
    <w:rsid w:val="64022588"/>
    <w:rsid w:val="6504510C"/>
    <w:rsid w:val="65314355"/>
    <w:rsid w:val="660B6D5A"/>
    <w:rsid w:val="66AD3BD4"/>
    <w:rsid w:val="67076AA5"/>
    <w:rsid w:val="671E0D74"/>
    <w:rsid w:val="671F7586"/>
    <w:rsid w:val="675B4F32"/>
    <w:rsid w:val="677333FD"/>
    <w:rsid w:val="679E28CC"/>
    <w:rsid w:val="67C45707"/>
    <w:rsid w:val="67DF459D"/>
    <w:rsid w:val="67E15CB8"/>
    <w:rsid w:val="681C4817"/>
    <w:rsid w:val="68362CE8"/>
    <w:rsid w:val="687436E1"/>
    <w:rsid w:val="68DF16C0"/>
    <w:rsid w:val="690B5E38"/>
    <w:rsid w:val="696A5E49"/>
    <w:rsid w:val="69B1E023"/>
    <w:rsid w:val="69BF75B1"/>
    <w:rsid w:val="69E60D7D"/>
    <w:rsid w:val="6A225AEB"/>
    <w:rsid w:val="6A27352A"/>
    <w:rsid w:val="6A521B7F"/>
    <w:rsid w:val="6B06459E"/>
    <w:rsid w:val="6B0A43D0"/>
    <w:rsid w:val="6B4C55F7"/>
    <w:rsid w:val="6B8020BC"/>
    <w:rsid w:val="6BB25D6B"/>
    <w:rsid w:val="6BEE02F1"/>
    <w:rsid w:val="6C590D0B"/>
    <w:rsid w:val="6C703CE3"/>
    <w:rsid w:val="6CEB6FF1"/>
    <w:rsid w:val="6D0E0130"/>
    <w:rsid w:val="6D1600AB"/>
    <w:rsid w:val="6D674ADC"/>
    <w:rsid w:val="6D8640E0"/>
    <w:rsid w:val="6D954C88"/>
    <w:rsid w:val="6DA45C50"/>
    <w:rsid w:val="6DB75658"/>
    <w:rsid w:val="6DDB57F1"/>
    <w:rsid w:val="6DE04C7B"/>
    <w:rsid w:val="6E2B1741"/>
    <w:rsid w:val="6E5C3762"/>
    <w:rsid w:val="6E9A7825"/>
    <w:rsid w:val="6EB6550C"/>
    <w:rsid w:val="6EFF0CDC"/>
    <w:rsid w:val="6F1C07F1"/>
    <w:rsid w:val="6F670F9B"/>
    <w:rsid w:val="6F836B9B"/>
    <w:rsid w:val="6FB206A4"/>
    <w:rsid w:val="6FB37990"/>
    <w:rsid w:val="6FC65FE7"/>
    <w:rsid w:val="6FD8633B"/>
    <w:rsid w:val="70043F21"/>
    <w:rsid w:val="70C96FB4"/>
    <w:rsid w:val="70FF16CD"/>
    <w:rsid w:val="710A2DB6"/>
    <w:rsid w:val="71CA525E"/>
    <w:rsid w:val="71E11ACA"/>
    <w:rsid w:val="71FD1FBB"/>
    <w:rsid w:val="72055089"/>
    <w:rsid w:val="720E247B"/>
    <w:rsid w:val="722441D4"/>
    <w:rsid w:val="72937C49"/>
    <w:rsid w:val="72981EE3"/>
    <w:rsid w:val="729D4CD2"/>
    <w:rsid w:val="72A61621"/>
    <w:rsid w:val="73241F11"/>
    <w:rsid w:val="732E067F"/>
    <w:rsid w:val="737450E0"/>
    <w:rsid w:val="73C56094"/>
    <w:rsid w:val="73F01AAF"/>
    <w:rsid w:val="73FD6BFE"/>
    <w:rsid w:val="74054476"/>
    <w:rsid w:val="742F38C4"/>
    <w:rsid w:val="74436497"/>
    <w:rsid w:val="745C5B34"/>
    <w:rsid w:val="7477425F"/>
    <w:rsid w:val="749D5963"/>
    <w:rsid w:val="74AB66DC"/>
    <w:rsid w:val="74C4154C"/>
    <w:rsid w:val="751A5F84"/>
    <w:rsid w:val="75213260"/>
    <w:rsid w:val="753044B5"/>
    <w:rsid w:val="755B06A7"/>
    <w:rsid w:val="756D528F"/>
    <w:rsid w:val="757F76BA"/>
    <w:rsid w:val="75841871"/>
    <w:rsid w:val="75847558"/>
    <w:rsid w:val="75937F0E"/>
    <w:rsid w:val="75956FFF"/>
    <w:rsid w:val="75A27CE1"/>
    <w:rsid w:val="75B173B4"/>
    <w:rsid w:val="75BE6B48"/>
    <w:rsid w:val="75EC58E3"/>
    <w:rsid w:val="761B0162"/>
    <w:rsid w:val="764E4CFF"/>
    <w:rsid w:val="76B82D78"/>
    <w:rsid w:val="76DD52D3"/>
    <w:rsid w:val="76EF68C0"/>
    <w:rsid w:val="76F42856"/>
    <w:rsid w:val="775728B8"/>
    <w:rsid w:val="776F00F4"/>
    <w:rsid w:val="777C60C6"/>
    <w:rsid w:val="77AA2D01"/>
    <w:rsid w:val="77B57DC4"/>
    <w:rsid w:val="77C440BD"/>
    <w:rsid w:val="781F4E85"/>
    <w:rsid w:val="78327529"/>
    <w:rsid w:val="78FE477C"/>
    <w:rsid w:val="791E70A8"/>
    <w:rsid w:val="79827885"/>
    <w:rsid w:val="79B40FC6"/>
    <w:rsid w:val="79E4589E"/>
    <w:rsid w:val="7A1510B8"/>
    <w:rsid w:val="7A5E2FEC"/>
    <w:rsid w:val="7A6C3DD2"/>
    <w:rsid w:val="7A8C6BB3"/>
    <w:rsid w:val="7AA830C2"/>
    <w:rsid w:val="7AC32586"/>
    <w:rsid w:val="7ACF2137"/>
    <w:rsid w:val="7AED1DBD"/>
    <w:rsid w:val="7B043560"/>
    <w:rsid w:val="7B222E8A"/>
    <w:rsid w:val="7B5F390F"/>
    <w:rsid w:val="7B947CF5"/>
    <w:rsid w:val="7BA57EF4"/>
    <w:rsid w:val="7BAE073C"/>
    <w:rsid w:val="7C5F2DFD"/>
    <w:rsid w:val="7CDE1DBD"/>
    <w:rsid w:val="7CEF7BF1"/>
    <w:rsid w:val="7CF57CC2"/>
    <w:rsid w:val="7D186D30"/>
    <w:rsid w:val="7D354082"/>
    <w:rsid w:val="7D83538D"/>
    <w:rsid w:val="7D8A5F25"/>
    <w:rsid w:val="7D943A85"/>
    <w:rsid w:val="7DB0448C"/>
    <w:rsid w:val="7DBD7462"/>
    <w:rsid w:val="7DD20489"/>
    <w:rsid w:val="7DEA7F0D"/>
    <w:rsid w:val="7E5F9AA4"/>
    <w:rsid w:val="7E906E20"/>
    <w:rsid w:val="7EF77E1C"/>
    <w:rsid w:val="7F28398E"/>
    <w:rsid w:val="7F835D03"/>
    <w:rsid w:val="7FBE2FE4"/>
    <w:rsid w:val="7FF73F06"/>
    <w:rsid w:val="8FFC8888"/>
    <w:rsid w:val="9FEBB14A"/>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ody Text"/>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paragraph" w:styleId="8">
    <w:name w:val="annotation subject"/>
    <w:basedOn w:val="2"/>
    <w:next w:val="2"/>
    <w:link w:val="16"/>
    <w:qFormat/>
    <w:uiPriority w:val="0"/>
    <w:rPr>
      <w:b/>
      <w:bCs/>
    </w:r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批注文字 Char"/>
    <w:link w:val="2"/>
    <w:qFormat/>
    <w:uiPriority w:val="0"/>
    <w:rPr>
      <w:kern w:val="2"/>
      <w:sz w:val="21"/>
      <w:szCs w:val="24"/>
    </w:rPr>
  </w:style>
  <w:style w:type="character" w:customStyle="1" w:styleId="14">
    <w:name w:val="批注框文本 Char"/>
    <w:link w:val="4"/>
    <w:qFormat/>
    <w:uiPriority w:val="0"/>
    <w:rPr>
      <w:kern w:val="2"/>
      <w:sz w:val="18"/>
      <w:szCs w:val="18"/>
    </w:rPr>
  </w:style>
  <w:style w:type="character" w:customStyle="1" w:styleId="15">
    <w:name w:val="页眉 Char"/>
    <w:link w:val="6"/>
    <w:qFormat/>
    <w:uiPriority w:val="0"/>
    <w:rPr>
      <w:kern w:val="2"/>
      <w:sz w:val="18"/>
      <w:szCs w:val="18"/>
    </w:rPr>
  </w:style>
  <w:style w:type="character" w:customStyle="1" w:styleId="16">
    <w:name w:val="批注主题 Char"/>
    <w:link w:val="8"/>
    <w:qFormat/>
    <w:uiPriority w:val="0"/>
    <w:rPr>
      <w:b/>
      <w:bCs/>
      <w:kern w:val="2"/>
      <w:sz w:val="21"/>
      <w:szCs w:val="24"/>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qFormat/>
    <w:uiPriority w:val="0"/>
    <w:pPr>
      <w:ind w:leftChars="200"/>
    </w:pPr>
    <w:rPr>
      <w:rFonts w:ascii="Times New Roman" w:hAnsi="Times New Roman" w:eastAsia="宋体" w:cs="Times New Roman"/>
      <w:lang w:val="en-US" w:eastAsia="zh-CN" w:bidi="ar-SA"/>
    </w:rPr>
  </w:style>
  <w:style w:type="paragraph" w:customStyle="1" w:styleId="19">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7132</Words>
  <Characters>10463</Characters>
  <Lines>67</Lines>
  <Paragraphs>18</Paragraphs>
  <TotalTime>61</TotalTime>
  <ScaleCrop>false</ScaleCrop>
  <LinksUpToDate>false</LinksUpToDate>
  <CharactersWithSpaces>10549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2024-07-24T19:26:00Z</dcterms:created>
  <dc:creator>uos</dc:creator>
  <cp:lastModifiedBy>user</cp:lastModifiedBy>
  <cp:lastPrinted>2023-08-03T16:58:00Z</cp:lastPrinted>
  <dcterms:modified xsi:type="dcterms:W3CDTF">2025-11-06T11:48:03Z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