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墨脱县住建局机关2024年度部门决算公开报告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7"/>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10720_WPSOffice_Level1"/>
      <w:bookmarkStart w:id="3" w:name="_Toc32433_WPSOffice_Level1"/>
      <w:bookmarkStart w:id="4" w:name="_Toc10049_WPSOffice_Level1"/>
      <w:bookmarkStart w:id="5" w:name="_Toc23465_WPSOffice_Level1"/>
      <w:bookmarkStart w:id="6" w:name="_Toc1704_WPSOffice_Level1"/>
      <w:bookmarkStart w:id="7" w:name="_Toc22941_WPSOffice_Level1"/>
      <w:bookmarkStart w:id="8" w:name="_Toc24238_WPSOffice_Level2"/>
      <w:bookmarkStart w:id="9" w:name="_Toc14159_WPSOffice_Level2"/>
      <w:bookmarkStart w:id="10" w:name="_Toc32622_WPSOffice_Level2"/>
      <w:bookmarkStart w:id="11" w:name="_Toc20274_WPSOffice_Level2"/>
      <w:bookmarkStart w:id="12" w:name="_Toc26580_WPSOffice_Level2"/>
      <w:bookmarkStart w:id="13" w:name="_Toc20205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numPr>
          <w:ilvl w:val="0"/>
          <w:numId w:val="0"/>
        </w:numPr>
        <w:overflowPunct w:val="0"/>
        <w:spacing w:line="576"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1．主要职能。</w:t>
      </w:r>
    </w:p>
    <w:p>
      <w:pPr>
        <w:numPr>
          <w:ilvl w:val="0"/>
          <w:numId w:val="0"/>
        </w:num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color w:val="auto"/>
          <w:sz w:val="32"/>
          <w:szCs w:val="32"/>
          <w:highlight w:val="none"/>
          <w:lang w:val="en-US" w:eastAsia="zh-CN"/>
        </w:rPr>
        <w:t>(1)</w:t>
      </w:r>
      <w:r>
        <w:rPr>
          <w:rFonts w:hint="eastAsia" w:ascii="仿宋_GB2312" w:hAnsi="仿宋_GB2312" w:eastAsia="仿宋_GB2312" w:cs="仿宋_GB2312"/>
          <w:color w:val="auto"/>
          <w:sz w:val="32"/>
          <w:szCs w:val="32"/>
          <w:lang w:eastAsia="zh-CN"/>
        </w:rPr>
        <w:t>负责建立健全全县住房和城乡建设制度。贯彻落实住房城乡建设领域的地方性法规和政府规章，拟订全县住房和城乡建设中长期发展规划和年度工作计划，提出全县住房和城乡建设工作建议。</w:t>
      </w:r>
    </w:p>
    <w:p>
      <w:pPr>
        <w:numPr>
          <w:ilvl w:val="0"/>
          <w:numId w:val="0"/>
        </w:num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color w:val="auto"/>
          <w:sz w:val="32"/>
          <w:szCs w:val="32"/>
          <w:highlight w:val="none"/>
          <w:lang w:val="en-US" w:eastAsia="zh-CN"/>
        </w:rPr>
        <w:t>(2)</w:t>
      </w:r>
      <w:r>
        <w:rPr>
          <w:rFonts w:hint="eastAsia" w:ascii="仿宋_GB2312" w:hAnsi="仿宋_GB2312" w:eastAsia="仿宋_GB2312" w:cs="仿宋_GB2312"/>
          <w:color w:val="auto"/>
          <w:sz w:val="32"/>
          <w:szCs w:val="32"/>
        </w:rPr>
        <w:t>负责推进住房制度改革。</w:t>
      </w:r>
      <w:r>
        <w:rPr>
          <w:rFonts w:hint="eastAsia" w:ascii="仿宋_GB2312" w:hAnsi="仿宋_GB2312" w:eastAsia="仿宋_GB2312" w:cs="仿宋_GB2312"/>
          <w:color w:val="auto"/>
          <w:sz w:val="32"/>
          <w:szCs w:val="32"/>
          <w:lang w:eastAsia="zh-CN"/>
        </w:rPr>
        <w:t>拟定全县住房建设规划、住房保障制度并指导实施。制定全县住房保障发展规划，会同有关部门拟定城镇保障性住房年度计划并监督实施。拟定符合县情的住房保障制度，指导全县住房建设和住房制度改革。监督指导全县房屋建设、拆除及公租房（廉租房）等保障性住房和管理工作。负责做好保障性住房建设、城中村改造工程项目申报相关工作。配合做好“平急两用”公共基础设施工程项目计划申报、监督实施等相关工作。着眼保障和改善民生，统筹负责城镇低收入、中低收入新市民、新青年家庭住房保障工作。</w:t>
      </w:r>
    </w:p>
    <w:p>
      <w:p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color w:val="auto"/>
          <w:sz w:val="32"/>
          <w:szCs w:val="32"/>
          <w:highlight w:val="none"/>
          <w:lang w:val="en-US" w:eastAsia="zh-CN"/>
        </w:rPr>
        <w:t>(3)</w:t>
      </w:r>
      <w:r>
        <w:rPr>
          <w:rFonts w:hint="eastAsia" w:ascii="仿宋_GB2312" w:hAnsi="仿宋_GB2312" w:eastAsia="仿宋_GB2312" w:cs="仿宋_GB2312"/>
          <w:color w:val="auto"/>
          <w:sz w:val="32"/>
          <w:szCs w:val="32"/>
        </w:rPr>
        <w:t>负责房地产市场监督管理工作。</w:t>
      </w:r>
      <w:r>
        <w:rPr>
          <w:rFonts w:hint="eastAsia" w:ascii="仿宋_GB2312" w:hAnsi="仿宋_GB2312" w:eastAsia="仿宋_GB2312" w:cs="仿宋_GB2312"/>
          <w:color w:val="auto"/>
          <w:sz w:val="32"/>
          <w:szCs w:val="32"/>
          <w:lang w:eastAsia="zh-CN"/>
        </w:rPr>
        <w:t>制定房地产业的行业发展规划和产业制度，组织拟定房地产市场管理制度并监督执行，制定房地产开发、房屋交易和租赁、房地产评估与经纪管理、物业服务管理等制度并监督执行。完善全县房地产管理相关制度，构建房地产发展新模式。贯彻落实国家支持房地产改革的政策，积极稳妥化解房地产风险，推动房地产市场持续平稳健康发展，助力高原经济高质量发展。</w:t>
      </w:r>
    </w:p>
    <w:p>
      <w:pPr>
        <w:numPr>
          <w:ilvl w:val="0"/>
          <w:numId w:val="0"/>
        </w:numPr>
        <w:overflowPunct w:val="0"/>
        <w:spacing w:line="240" w:lineRule="auto"/>
        <w:ind w:left="0" w:leftChars="0" w:firstLine="640" w:firstLineChars="200"/>
        <w:rPr>
          <w:rFonts w:hint="eastAsia" w:ascii="仿宋_GB2312" w:hAnsi="仿宋_GB2312" w:eastAsia="仿宋_GB2312" w:cs="仿宋_GB2312"/>
          <w:color w:val="auto"/>
          <w:sz w:val="32"/>
          <w:szCs w:val="32"/>
        </w:rPr>
      </w:pPr>
      <w:r>
        <w:rPr>
          <w:rFonts w:hint="eastAsia" w:ascii="仿宋_GB2312" w:hAnsi="仿宋" w:eastAsia="仿宋_GB2312"/>
          <w:color w:val="auto"/>
          <w:sz w:val="32"/>
          <w:szCs w:val="32"/>
          <w:highlight w:val="none"/>
          <w:lang w:val="en-US" w:eastAsia="zh-CN"/>
        </w:rPr>
        <w:t>(4)</w:t>
      </w:r>
      <w:r>
        <w:rPr>
          <w:rFonts w:hint="eastAsia" w:ascii="仿宋_GB2312" w:hAnsi="仿宋_GB2312" w:eastAsia="仿宋_GB2312" w:cs="仿宋_GB2312"/>
          <w:color w:val="auto"/>
          <w:sz w:val="32"/>
          <w:szCs w:val="32"/>
        </w:rPr>
        <w:t>负责建立科学规范的</w:t>
      </w:r>
      <w:r>
        <w:rPr>
          <w:rFonts w:hint="eastAsia" w:ascii="仿宋_GB2312" w:hAnsi="仿宋_GB2312" w:eastAsia="仿宋_GB2312" w:cs="仿宋_GB2312"/>
          <w:color w:val="auto"/>
          <w:sz w:val="32"/>
          <w:szCs w:val="32"/>
          <w:lang w:eastAsia="zh-CN"/>
        </w:rPr>
        <w:t>工程建设规范</w:t>
      </w:r>
      <w:r>
        <w:rPr>
          <w:rFonts w:hint="eastAsia" w:ascii="仿宋_GB2312" w:hAnsi="仿宋_GB2312" w:eastAsia="仿宋_GB2312" w:cs="仿宋_GB2312"/>
          <w:color w:val="auto"/>
          <w:sz w:val="32"/>
          <w:szCs w:val="32"/>
        </w:rPr>
        <w:t>。组织</w:t>
      </w:r>
      <w:r>
        <w:rPr>
          <w:rFonts w:hint="eastAsia" w:ascii="仿宋_GB2312" w:hAnsi="仿宋_GB2312" w:eastAsia="仿宋_GB2312" w:cs="仿宋_GB2312"/>
          <w:color w:val="auto"/>
          <w:sz w:val="32"/>
          <w:szCs w:val="32"/>
          <w:lang w:eastAsia="zh-CN"/>
        </w:rPr>
        <w:t>制定和</w:t>
      </w:r>
      <w:r>
        <w:rPr>
          <w:rFonts w:hint="eastAsia" w:ascii="仿宋_GB2312" w:hAnsi="仿宋_GB2312" w:eastAsia="仿宋_GB2312" w:cs="仿宋_GB2312"/>
          <w:color w:val="auto"/>
          <w:sz w:val="32"/>
          <w:szCs w:val="32"/>
        </w:rPr>
        <w:t>实施</w:t>
      </w: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rPr>
        <w:t>工程建设</w:t>
      </w:r>
      <w:r>
        <w:rPr>
          <w:rFonts w:hint="eastAsia" w:ascii="仿宋_GB2312" w:hAnsi="仿宋_GB2312" w:eastAsia="仿宋_GB2312" w:cs="仿宋_GB2312"/>
          <w:color w:val="auto"/>
          <w:sz w:val="32"/>
          <w:szCs w:val="32"/>
          <w:lang w:eastAsia="zh-CN"/>
        </w:rPr>
        <w:t>规范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制定</w:t>
      </w:r>
      <w:r>
        <w:rPr>
          <w:rFonts w:hint="eastAsia" w:ascii="仿宋_GB2312" w:hAnsi="仿宋_GB2312" w:eastAsia="仿宋_GB2312" w:cs="仿宋_GB2312"/>
          <w:color w:val="auto"/>
          <w:sz w:val="32"/>
          <w:szCs w:val="32"/>
        </w:rPr>
        <w:t>发布工程建设统一定额和行业</w:t>
      </w:r>
      <w:r>
        <w:rPr>
          <w:rFonts w:hint="eastAsia" w:ascii="仿宋_GB2312" w:hAnsi="仿宋_GB2312" w:eastAsia="仿宋_GB2312" w:cs="仿宋_GB2312"/>
          <w:color w:val="auto"/>
          <w:sz w:val="32"/>
          <w:szCs w:val="32"/>
          <w:lang w:eastAsia="zh-CN"/>
        </w:rPr>
        <w:t>规范。</w:t>
      </w:r>
      <w:r>
        <w:rPr>
          <w:rFonts w:hint="eastAsia" w:ascii="仿宋_GB2312" w:hAnsi="仿宋_GB2312" w:eastAsia="仿宋_GB2312" w:cs="仿宋_GB2312"/>
          <w:color w:val="auto"/>
          <w:sz w:val="32"/>
          <w:szCs w:val="32"/>
        </w:rPr>
        <w:t>拟订建设项目可行性研究评价方法、经济参数、建设</w:t>
      </w:r>
      <w:r>
        <w:rPr>
          <w:rFonts w:hint="eastAsia" w:ascii="仿宋_GB2312" w:hAnsi="仿宋_GB2312" w:eastAsia="仿宋_GB2312" w:cs="仿宋_GB2312"/>
          <w:color w:val="auto"/>
          <w:sz w:val="32"/>
          <w:szCs w:val="32"/>
          <w:lang w:eastAsia="zh-CN"/>
        </w:rPr>
        <w:t>规范</w:t>
      </w:r>
      <w:r>
        <w:rPr>
          <w:rFonts w:hint="eastAsia" w:ascii="仿宋_GB2312" w:hAnsi="仿宋_GB2312" w:eastAsia="仿宋_GB2312" w:cs="仿宋_GB2312"/>
          <w:color w:val="auto"/>
          <w:sz w:val="32"/>
          <w:szCs w:val="32"/>
        </w:rPr>
        <w:t>和工程造价的管理制度</w:t>
      </w:r>
      <w:r>
        <w:rPr>
          <w:rFonts w:hint="eastAsia" w:ascii="仿宋_GB2312" w:hAnsi="仿宋_GB2312" w:eastAsia="仿宋_GB2312" w:cs="仿宋_GB2312"/>
          <w:color w:val="auto"/>
          <w:sz w:val="32"/>
          <w:szCs w:val="32"/>
          <w:lang w:eastAsia="zh-CN"/>
        </w:rPr>
        <w:t>。拟定</w:t>
      </w:r>
      <w:r>
        <w:rPr>
          <w:rFonts w:hint="eastAsia" w:ascii="仿宋_GB2312" w:hAnsi="仿宋_GB2312" w:eastAsia="仿宋_GB2312" w:cs="仿宋_GB2312"/>
          <w:color w:val="auto"/>
          <w:sz w:val="32"/>
          <w:szCs w:val="32"/>
        </w:rPr>
        <w:t>公共服务设施（不含通信设施）建设</w:t>
      </w:r>
      <w:r>
        <w:rPr>
          <w:rFonts w:hint="eastAsia" w:ascii="仿宋_GB2312" w:hAnsi="仿宋_GB2312" w:eastAsia="仿宋_GB2312" w:cs="仿宋_GB2312"/>
          <w:color w:val="auto"/>
          <w:sz w:val="32"/>
          <w:szCs w:val="32"/>
          <w:lang w:eastAsia="zh-CN"/>
        </w:rPr>
        <w:t>规范并监督执行。</w:t>
      </w:r>
      <w:r>
        <w:rPr>
          <w:rFonts w:hint="eastAsia" w:ascii="仿宋_GB2312" w:hAnsi="仿宋_GB2312" w:eastAsia="仿宋_GB2312" w:cs="仿宋_GB2312"/>
          <w:color w:val="auto"/>
          <w:sz w:val="32"/>
          <w:szCs w:val="32"/>
        </w:rPr>
        <w:t>指导监督各类工程建设标准定额的实施和工程造价计价，组织发布工程造价信息。</w:t>
      </w:r>
    </w:p>
    <w:p>
      <w:p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color w:val="auto"/>
          <w:sz w:val="32"/>
          <w:szCs w:val="32"/>
          <w:highlight w:val="none"/>
          <w:lang w:val="en-US" w:eastAsia="zh-CN"/>
        </w:rPr>
        <w:t>(5)</w:t>
      </w:r>
      <w:r>
        <w:rPr>
          <w:rFonts w:hint="eastAsia" w:ascii="仿宋_GB2312" w:hAnsi="仿宋_GB2312" w:eastAsia="仿宋_GB2312" w:cs="仿宋_GB2312"/>
          <w:color w:val="auto"/>
          <w:sz w:val="32"/>
          <w:szCs w:val="32"/>
        </w:rPr>
        <w:t>负责指导城市建设。</w:t>
      </w:r>
      <w:r>
        <w:rPr>
          <w:rFonts w:hint="eastAsia" w:ascii="仿宋_GB2312" w:hAnsi="仿宋_GB2312" w:eastAsia="仿宋_GB2312" w:cs="仿宋_GB2312"/>
          <w:color w:val="auto"/>
          <w:sz w:val="32"/>
          <w:szCs w:val="32"/>
          <w:lang w:eastAsia="zh-CN"/>
        </w:rPr>
        <w:t>研究拟定城市建设的制度并指导实施。负责组织城市</w:t>
      </w:r>
      <w:r>
        <w:rPr>
          <w:rFonts w:hint="eastAsia" w:ascii="仿宋_GB2312" w:hAnsi="仿宋_GB2312" w:eastAsia="仿宋_GB2312" w:cs="仿宋_GB2312"/>
          <w:color w:val="auto"/>
          <w:sz w:val="32"/>
          <w:szCs w:val="32"/>
        </w:rPr>
        <w:t>总体设计、区域设计和专项设计及建筑设计工作</w:t>
      </w:r>
      <w:r>
        <w:rPr>
          <w:rFonts w:hint="eastAsia" w:ascii="仿宋_GB2312" w:hAnsi="仿宋_GB2312" w:eastAsia="仿宋_GB2312" w:cs="仿宋_GB2312"/>
          <w:color w:val="auto"/>
          <w:sz w:val="32"/>
          <w:szCs w:val="32"/>
          <w:lang w:eastAsia="zh-CN"/>
        </w:rPr>
        <w:t>。开展藏门珞传统建筑研究、保护、开发和利用工作。指导</w:t>
      </w:r>
      <w:r>
        <w:rPr>
          <w:rFonts w:hint="eastAsia" w:ascii="仿宋_GB2312" w:hAnsi="仿宋_GB2312" w:eastAsia="仿宋_GB2312" w:cs="仿宋_GB2312"/>
          <w:color w:val="auto"/>
          <w:sz w:val="32"/>
          <w:szCs w:val="32"/>
        </w:rPr>
        <w:t>全县市政工程项目的管理和实施，</w:t>
      </w:r>
      <w:r>
        <w:rPr>
          <w:rFonts w:hint="eastAsia" w:ascii="仿宋_GB2312" w:hAnsi="仿宋_GB2312" w:eastAsia="仿宋_GB2312" w:cs="仿宋_GB2312"/>
          <w:color w:val="auto"/>
          <w:sz w:val="32"/>
          <w:szCs w:val="32"/>
          <w:lang w:eastAsia="zh-CN"/>
        </w:rPr>
        <w:t>指导</w:t>
      </w:r>
      <w:r>
        <w:rPr>
          <w:rFonts w:hint="eastAsia" w:ascii="仿宋_GB2312" w:hAnsi="仿宋_GB2312" w:eastAsia="仿宋_GB2312" w:cs="仿宋_GB2312"/>
          <w:color w:val="auto"/>
          <w:sz w:val="32"/>
          <w:szCs w:val="32"/>
        </w:rPr>
        <w:t>城市市政公用设施建设</w:t>
      </w:r>
      <w:r>
        <w:rPr>
          <w:rFonts w:hint="eastAsia" w:ascii="仿宋_GB2312" w:hAnsi="仿宋_GB2312" w:eastAsia="仿宋_GB2312" w:cs="仿宋_GB2312"/>
          <w:color w:val="auto"/>
          <w:sz w:val="32"/>
          <w:szCs w:val="32"/>
          <w:lang w:eastAsia="zh-CN"/>
        </w:rPr>
        <w:t>。</w:t>
      </w:r>
    </w:p>
    <w:p>
      <w:pPr>
        <w:overflowPunct w:val="0"/>
        <w:spacing w:line="576"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指导全县建设工程防灾减灾的综合管理。实施城市更新行动，高标准推进城市建设，打造环境优美、生态良好、特色鲜明、宜居宜业的公园城市。指导城镇污水处理设施、垃圾处理设施及配套工程的建设。会同文物主管部门负责历史文化名城（镇、村）的保护和监督管理工作。</w:t>
      </w:r>
    </w:p>
    <w:p>
      <w:p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color w:val="auto"/>
          <w:sz w:val="32"/>
          <w:szCs w:val="32"/>
          <w:highlight w:val="none"/>
          <w:lang w:val="en-US" w:eastAsia="zh-CN"/>
        </w:rPr>
        <w:t>(6)</w:t>
      </w:r>
      <w:r>
        <w:rPr>
          <w:rFonts w:hint="eastAsia" w:ascii="仿宋_GB2312" w:hAnsi="仿宋_GB2312" w:eastAsia="仿宋_GB2312" w:cs="仿宋_GB2312"/>
          <w:color w:val="auto"/>
          <w:sz w:val="32"/>
          <w:szCs w:val="32"/>
        </w:rPr>
        <w:t>负责指导村镇建设。拟订全县村镇建设</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技术规范</w:t>
      </w:r>
      <w:r>
        <w:rPr>
          <w:rFonts w:hint="eastAsia" w:ascii="仿宋_GB2312" w:hAnsi="仿宋_GB2312" w:eastAsia="仿宋_GB2312" w:cs="仿宋_GB2312"/>
          <w:color w:val="auto"/>
          <w:sz w:val="32"/>
          <w:szCs w:val="32"/>
        </w:rPr>
        <w:t>并监督实施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拟订全县小城镇建设</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并指导实施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指导</w:t>
      </w:r>
      <w:r>
        <w:rPr>
          <w:rFonts w:hint="eastAsia" w:ascii="仿宋_GB2312" w:hAnsi="仿宋_GB2312" w:eastAsia="仿宋_GB2312" w:cs="仿宋_GB2312"/>
          <w:color w:val="auto"/>
          <w:sz w:val="32"/>
          <w:szCs w:val="32"/>
          <w:lang w:eastAsia="zh-CN"/>
        </w:rPr>
        <w:t>全县重点乡（镇）建设</w:t>
      </w:r>
      <w:r>
        <w:rPr>
          <w:rFonts w:hint="eastAsia" w:ascii="仿宋_GB2312" w:hAnsi="仿宋_GB2312" w:eastAsia="仿宋_GB2312" w:cs="仿宋_GB2312"/>
          <w:color w:val="auto"/>
          <w:sz w:val="32"/>
          <w:szCs w:val="32"/>
        </w:rPr>
        <w:t>、农牧区住房建设和安全及危房改造</w:t>
      </w:r>
      <w:r>
        <w:rPr>
          <w:rFonts w:hint="eastAsia" w:ascii="仿宋_GB2312" w:hAnsi="仿宋_GB2312" w:eastAsia="仿宋_GB2312" w:cs="仿宋_GB2312"/>
          <w:color w:val="auto"/>
          <w:sz w:val="32"/>
          <w:szCs w:val="32"/>
          <w:lang w:eastAsia="zh-CN"/>
        </w:rPr>
        <w:t>。推进新型城镇化建设，指导改善农牧区住房条件和人居环境，建立健全乡村生活垃圾收运处置体系，促进村镇建设提质增效，推进城乡融合发展，建设宜居宜业和美乡村。</w:t>
      </w:r>
      <w:r>
        <w:rPr>
          <w:rFonts w:hint="eastAsia" w:ascii="仿宋_GB2312" w:hAnsi="仿宋_GB2312" w:eastAsia="仿宋_GB2312" w:cs="仿宋_GB2312"/>
          <w:color w:val="auto"/>
          <w:sz w:val="32"/>
          <w:szCs w:val="32"/>
        </w:rPr>
        <w:t>指导</w:t>
      </w:r>
      <w:r>
        <w:rPr>
          <w:rFonts w:hint="eastAsia" w:ascii="仿宋_GB2312" w:hAnsi="仿宋_GB2312" w:eastAsia="仿宋_GB2312" w:cs="仿宋_GB2312"/>
          <w:color w:val="auto"/>
          <w:sz w:val="32"/>
          <w:szCs w:val="32"/>
          <w:lang w:eastAsia="zh-CN"/>
        </w:rPr>
        <w:t>推动边境地区城镇建设，助力国家固边兴边富民行动示范区创建。</w:t>
      </w:r>
    </w:p>
    <w:p>
      <w:p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color w:val="auto"/>
          <w:sz w:val="32"/>
          <w:szCs w:val="32"/>
          <w:highlight w:val="none"/>
          <w:lang w:val="en-US" w:eastAsia="zh-CN"/>
        </w:rPr>
        <w:t>(7)</w:t>
      </w:r>
      <w:r>
        <w:rPr>
          <w:rFonts w:hint="eastAsia" w:ascii="仿宋_GB2312" w:hAnsi="仿宋_GB2312" w:eastAsia="仿宋_GB2312" w:cs="仿宋_GB2312"/>
          <w:color w:val="auto"/>
          <w:sz w:val="32"/>
          <w:szCs w:val="32"/>
        </w:rPr>
        <w:t>负责建筑市场监督管理工作。指导全县建筑活动，</w:t>
      </w:r>
      <w:r>
        <w:rPr>
          <w:rFonts w:hint="eastAsia" w:ascii="仿宋_GB2312" w:hAnsi="仿宋_GB2312" w:eastAsia="仿宋_GB2312" w:cs="仿宋_GB2312"/>
          <w:color w:val="auto"/>
          <w:sz w:val="32"/>
          <w:szCs w:val="32"/>
          <w:lang w:eastAsia="zh-CN"/>
        </w:rPr>
        <w:t>指导</w:t>
      </w:r>
      <w:r>
        <w:rPr>
          <w:rFonts w:hint="eastAsia" w:ascii="仿宋_GB2312" w:hAnsi="仿宋_GB2312" w:eastAsia="仿宋_GB2312" w:cs="仿宋_GB2312"/>
          <w:color w:val="auto"/>
          <w:sz w:val="32"/>
          <w:szCs w:val="32"/>
        </w:rPr>
        <w:t>监督建筑市场准入和房屋、市政工程项目招投标活动</w:t>
      </w:r>
      <w:r>
        <w:rPr>
          <w:rFonts w:hint="eastAsia" w:ascii="仿宋_GB2312" w:hAnsi="仿宋_GB2312" w:eastAsia="仿宋_GB2312" w:cs="仿宋_GB2312"/>
          <w:color w:val="auto"/>
          <w:sz w:val="32"/>
          <w:szCs w:val="32"/>
          <w:lang w:eastAsia="zh-CN"/>
        </w:rPr>
        <w:t>。指导全</w:t>
      </w:r>
      <w:r>
        <w:rPr>
          <w:rFonts w:hint="eastAsia" w:ascii="仿宋_GB2312" w:hAnsi="仿宋_GB2312" w:eastAsia="仿宋_GB2312" w:cs="仿宋_GB2312"/>
          <w:color w:val="auto"/>
          <w:sz w:val="32"/>
          <w:szCs w:val="32"/>
        </w:rPr>
        <w:t>县建筑业</w:t>
      </w:r>
      <w:r>
        <w:rPr>
          <w:rFonts w:hint="eastAsia" w:ascii="仿宋_GB2312" w:hAnsi="仿宋_GB2312" w:eastAsia="仿宋_GB2312" w:cs="仿宋_GB2312"/>
          <w:color w:val="auto"/>
          <w:sz w:val="32"/>
          <w:szCs w:val="32"/>
          <w:lang w:eastAsia="zh-CN"/>
        </w:rPr>
        <w:t>高质量发展和转型升级，优化建筑领域营商环境，规范建筑市场，推动建筑产业健康发展，为全县经济高质量发展提供支撑。拟定建筑业发展制度并监督执行。组织查处住房和城乡建设领域有关案件。</w:t>
      </w:r>
    </w:p>
    <w:p>
      <w:p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color w:val="auto"/>
          <w:sz w:val="32"/>
          <w:szCs w:val="32"/>
          <w:highlight w:val="none"/>
          <w:lang w:val="en-US" w:eastAsia="zh-CN"/>
        </w:rPr>
        <w:t>(8)</w:t>
      </w:r>
      <w:r>
        <w:rPr>
          <w:rFonts w:hint="eastAsia" w:ascii="仿宋_GB2312" w:hAnsi="仿宋_GB2312" w:eastAsia="仿宋_GB2312" w:cs="仿宋_GB2312"/>
          <w:color w:val="auto"/>
          <w:sz w:val="32"/>
          <w:szCs w:val="32"/>
          <w:lang w:eastAsia="zh-CN"/>
        </w:rPr>
        <w:t>指导全县房屋</w:t>
      </w:r>
      <w:r>
        <w:rPr>
          <w:rFonts w:hint="eastAsia" w:ascii="仿宋_GB2312" w:hAnsi="仿宋_GB2312" w:eastAsia="仿宋_GB2312" w:cs="仿宋_GB2312"/>
          <w:color w:val="auto"/>
          <w:sz w:val="32"/>
          <w:szCs w:val="32"/>
        </w:rPr>
        <w:t>建筑</w:t>
      </w:r>
      <w:r>
        <w:rPr>
          <w:rFonts w:hint="eastAsia" w:ascii="仿宋_GB2312" w:hAnsi="仿宋_GB2312" w:eastAsia="仿宋_GB2312" w:cs="仿宋_GB2312"/>
          <w:color w:val="auto"/>
          <w:sz w:val="32"/>
          <w:szCs w:val="32"/>
          <w:lang w:eastAsia="zh-CN"/>
        </w:rPr>
        <w:t>和市政工程质量安全监督管理工作</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建筑</w:t>
      </w:r>
      <w:r>
        <w:rPr>
          <w:rFonts w:hint="eastAsia" w:ascii="仿宋_GB2312" w:hAnsi="仿宋_GB2312" w:eastAsia="仿宋_GB2312" w:cs="仿宋_GB2312"/>
          <w:color w:val="auto"/>
          <w:sz w:val="32"/>
          <w:szCs w:val="32"/>
        </w:rPr>
        <w:t>行业质量管理工作</w:t>
      </w:r>
      <w:r>
        <w:rPr>
          <w:rFonts w:hint="eastAsia" w:ascii="仿宋_GB2312" w:hAnsi="仿宋_GB2312" w:eastAsia="仿宋_GB2312" w:cs="仿宋_GB2312"/>
          <w:color w:val="auto"/>
          <w:sz w:val="32"/>
          <w:szCs w:val="32"/>
          <w:lang w:eastAsia="zh-CN"/>
        </w:rPr>
        <w:t>。制定全县房屋建筑和市政工程质量、安全生产和竣工验收备案制度并监督执行。制定建筑业技术制度并指导实施。组织开展房屋建筑和市政工程重大质量、安全事故的调查处理。负责建设工程消防设计、审查和验收等工作。</w:t>
      </w:r>
    </w:p>
    <w:p>
      <w:p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color w:val="auto"/>
          <w:sz w:val="32"/>
          <w:szCs w:val="32"/>
          <w:highlight w:val="none"/>
          <w:lang w:val="en-US" w:eastAsia="zh-CN"/>
        </w:rPr>
        <w:t>(9)</w:t>
      </w:r>
      <w:r>
        <w:rPr>
          <w:rFonts w:hint="eastAsia" w:ascii="仿宋_GB2312" w:hAnsi="仿宋_GB2312" w:eastAsia="仿宋_GB2312" w:cs="仿宋_GB2312"/>
          <w:color w:val="auto"/>
          <w:sz w:val="32"/>
          <w:szCs w:val="32"/>
        </w:rPr>
        <w:t>负责推进行业科技发展和建筑节能、</w:t>
      </w:r>
      <w:r>
        <w:rPr>
          <w:rFonts w:hint="eastAsia" w:ascii="仿宋_GB2312" w:hAnsi="仿宋_GB2312" w:eastAsia="仿宋_GB2312" w:cs="仿宋_GB2312"/>
          <w:color w:val="auto"/>
          <w:sz w:val="32"/>
          <w:szCs w:val="32"/>
          <w:lang w:eastAsia="zh-CN"/>
        </w:rPr>
        <w:t>城镇</w:t>
      </w:r>
      <w:r>
        <w:rPr>
          <w:rFonts w:hint="eastAsia" w:ascii="仿宋_GB2312" w:hAnsi="仿宋_GB2312" w:eastAsia="仿宋_GB2312" w:cs="仿宋_GB2312"/>
          <w:color w:val="auto"/>
          <w:sz w:val="32"/>
          <w:szCs w:val="32"/>
        </w:rPr>
        <w:t>减排工作。会同有关部门拟订行业科技发展规划和建筑节能</w:t>
      </w:r>
      <w:r>
        <w:rPr>
          <w:rFonts w:hint="eastAsia" w:ascii="仿宋_GB2312" w:hAnsi="仿宋_GB2312" w:eastAsia="仿宋_GB2312" w:cs="仿宋_GB2312"/>
          <w:color w:val="auto"/>
          <w:sz w:val="32"/>
          <w:szCs w:val="32"/>
          <w:lang w:eastAsia="zh-CN"/>
        </w:rPr>
        <w:t>规划、制度并监督实施，组织实施重大建筑节能项目。负责绿色建材和装配式建筑的推广应用，组织开展清洁能源供暖供氧工作，推进城镇节能减排工作，推进落实城乡建设领域碳达峰碳中和相关工作，助力国家生态文明高地创建。</w:t>
      </w:r>
    </w:p>
    <w:p>
      <w:p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color w:val="auto"/>
          <w:sz w:val="32"/>
          <w:szCs w:val="32"/>
          <w:highlight w:val="none"/>
          <w:lang w:val="en-US" w:eastAsia="zh-CN"/>
        </w:rPr>
        <w:t>(10)</w:t>
      </w:r>
      <w:r>
        <w:rPr>
          <w:rFonts w:hint="eastAsia" w:ascii="仿宋_GB2312" w:hAnsi="仿宋_GB2312" w:eastAsia="仿宋_GB2312" w:cs="仿宋_GB2312"/>
          <w:color w:val="auto"/>
          <w:sz w:val="32"/>
          <w:szCs w:val="32"/>
          <w:lang w:eastAsia="zh-CN"/>
        </w:rPr>
        <w:t>负责全县住房公积金监督管理工作。会同有关部门拟定全县住房公积金发展规划、制度并组织实施。制定住房公积金缴存、使用、管理和监督制度，监督全县住房公积金和商品住宅维修等资金的管理、使用和安全。根据授权，协助管理全县住房公积金信息系统。</w:t>
      </w:r>
    </w:p>
    <w:p>
      <w:p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color w:val="auto"/>
          <w:sz w:val="32"/>
          <w:szCs w:val="32"/>
          <w:highlight w:val="none"/>
          <w:lang w:val="en-US" w:eastAsia="zh-CN"/>
        </w:rPr>
        <w:t>(11)</w:t>
      </w:r>
      <w:r>
        <w:rPr>
          <w:rFonts w:hint="eastAsia" w:ascii="仿宋_GB2312" w:hAnsi="仿宋_GB2312" w:eastAsia="仿宋_GB2312" w:cs="仿宋_GB2312"/>
          <w:color w:val="auto"/>
          <w:sz w:val="32"/>
          <w:szCs w:val="32"/>
        </w:rPr>
        <w:t>负责行业人才工作。制定行业人才培养规划，指导行业人才队伍建设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负责行业</w:t>
      </w:r>
      <w:r>
        <w:rPr>
          <w:rFonts w:hint="eastAsia" w:ascii="仿宋_GB2312" w:hAnsi="仿宋_GB2312" w:eastAsia="仿宋_GB2312" w:cs="仿宋_GB2312"/>
          <w:color w:val="auto"/>
          <w:sz w:val="32"/>
          <w:szCs w:val="32"/>
          <w:lang w:eastAsia="zh-CN"/>
        </w:rPr>
        <w:t>专业技术人员管理工作。执行</w:t>
      </w:r>
      <w:r>
        <w:rPr>
          <w:rFonts w:hint="eastAsia" w:ascii="仿宋_GB2312" w:hAnsi="仿宋_GB2312" w:eastAsia="仿宋_GB2312" w:cs="仿宋_GB2312"/>
          <w:color w:val="auto"/>
          <w:sz w:val="32"/>
          <w:szCs w:val="32"/>
        </w:rPr>
        <w:t>行业</w:t>
      </w:r>
      <w:r>
        <w:rPr>
          <w:rFonts w:hint="eastAsia" w:ascii="仿宋_GB2312" w:hAnsi="仿宋_GB2312" w:eastAsia="仿宋_GB2312" w:cs="仿宋_GB2312"/>
          <w:color w:val="auto"/>
          <w:sz w:val="32"/>
          <w:szCs w:val="32"/>
          <w:lang w:eastAsia="zh-CN"/>
        </w:rPr>
        <w:t>执业资格制度和岗位技能鉴定制度并组织实施。组织开展住房和城乡建设方面的区域合作与交流。</w:t>
      </w:r>
    </w:p>
    <w:p>
      <w:pPr>
        <w:overflowPunct w:val="0"/>
        <w:spacing w:line="576"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eastAsia="仿宋_GB2312"/>
          <w:color w:val="auto"/>
          <w:sz w:val="32"/>
          <w:szCs w:val="32"/>
          <w:highlight w:val="none"/>
          <w:lang w:val="en-US" w:eastAsia="zh-CN"/>
        </w:rPr>
        <w:t>(12)</w:t>
      </w:r>
      <w:r>
        <w:rPr>
          <w:rFonts w:hint="eastAsia" w:ascii="仿宋_GB2312" w:hAnsi="仿宋_GB2312" w:eastAsia="仿宋_GB2312" w:cs="仿宋_GB2312"/>
          <w:color w:val="auto"/>
          <w:sz w:val="32"/>
          <w:szCs w:val="32"/>
          <w:lang w:eastAsia="zh-CN"/>
        </w:rPr>
        <w:t>负责本行业本领域安全生产监督管理和应急处置工作。</w:t>
      </w:r>
    </w:p>
    <w:p>
      <w:pPr>
        <w:numPr>
          <w:ilvl w:val="0"/>
          <w:numId w:val="0"/>
        </w:numPr>
        <w:overflowPunct w:val="0"/>
        <w:spacing w:line="576" w:lineRule="exact"/>
        <w:ind w:firstLine="640" w:firstLineChars="200"/>
        <w:rPr>
          <w:rFonts w:hint="eastAsia" w:ascii="黑体" w:hAnsi="黑体" w:eastAsia="黑体" w:cs="黑体"/>
          <w:color w:val="auto"/>
          <w:sz w:val="32"/>
          <w:szCs w:val="32"/>
        </w:rPr>
      </w:pPr>
      <w:r>
        <w:rPr>
          <w:rFonts w:hint="eastAsia" w:ascii="仿宋_GB2312" w:hAnsi="仿宋" w:eastAsia="仿宋_GB2312"/>
          <w:color w:val="auto"/>
          <w:sz w:val="32"/>
          <w:szCs w:val="32"/>
          <w:highlight w:val="none"/>
          <w:lang w:val="en-US" w:eastAsia="zh-CN"/>
        </w:rPr>
        <w:t>(13)</w:t>
      </w:r>
      <w:r>
        <w:rPr>
          <w:rFonts w:hint="eastAsia" w:ascii="仿宋_GB2312" w:hAnsi="仿宋_GB2312" w:eastAsia="仿宋_GB2312" w:cs="仿宋_GB2312"/>
          <w:color w:val="auto"/>
          <w:sz w:val="32"/>
          <w:szCs w:val="32"/>
        </w:rPr>
        <w:t>完成县委、</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政府交办的其他任务</w:t>
      </w:r>
      <w:r>
        <w:rPr>
          <w:rFonts w:hint="eastAsia" w:ascii="仿宋_GB2312" w:hAnsi="仿宋_GB2312" w:eastAsia="仿宋_GB2312" w:cs="仿宋_GB2312"/>
          <w:color w:val="auto"/>
          <w:sz w:val="32"/>
          <w:szCs w:val="32"/>
          <w:lang w:eastAsia="zh-CN"/>
        </w:rPr>
        <w:t>。</w:t>
      </w:r>
    </w:p>
    <w:p>
      <w:pPr>
        <w:numPr>
          <w:ilvl w:val="0"/>
          <w:numId w:val="0"/>
        </w:numPr>
        <w:spacing w:line="578" w:lineRule="exact"/>
        <w:rPr>
          <w:rFonts w:hint="eastAsia" w:ascii="黑体" w:hAnsi="黑体" w:eastAsia="黑体" w:cs="黑体"/>
          <w:color w:val="auto"/>
          <w:sz w:val="32"/>
          <w:szCs w:val="32"/>
        </w:rPr>
      </w:pPr>
    </w:p>
    <w:p>
      <w:pPr>
        <w:spacing w:line="578" w:lineRule="exact"/>
        <w:ind w:firstLine="640" w:firstLineChars="200"/>
        <w:rPr>
          <w:rFonts w:hint="eastAsia" w:ascii="黑体" w:hAnsi="黑体" w:eastAsia="黑体" w:cs="黑体"/>
          <w:color w:val="auto"/>
          <w:sz w:val="32"/>
          <w:szCs w:val="32"/>
        </w:rPr>
      </w:pPr>
      <w:bookmarkStart w:id="14" w:name="_Toc17796_WPSOffice_Level2"/>
      <w:bookmarkStart w:id="15" w:name="_Toc24059_WPSOffice_Level2"/>
      <w:bookmarkStart w:id="16" w:name="_Toc4833_WPSOffice_Level2"/>
      <w:bookmarkStart w:id="17" w:name="_Toc6572_WPSOffice_Level2"/>
      <w:bookmarkStart w:id="18" w:name="_Toc24474_WPSOffice_Level2"/>
      <w:r>
        <w:rPr>
          <w:rFonts w:hint="eastAsia" w:ascii="黑体" w:hAnsi="黑体" w:eastAsia="黑体" w:cs="黑体"/>
          <w:color w:val="auto"/>
          <w:sz w:val="32"/>
          <w:szCs w:val="32"/>
        </w:rPr>
        <w:t>二、机构设置</w:t>
      </w:r>
      <w:bookmarkEnd w:id="14"/>
      <w:bookmarkEnd w:id="15"/>
      <w:bookmarkEnd w:id="16"/>
      <w:bookmarkEnd w:id="17"/>
      <w:bookmarkEnd w:id="18"/>
    </w:p>
    <w:p>
      <w:pPr>
        <w:numPr>
          <w:ilvl w:val="0"/>
          <w:numId w:val="0"/>
        </w:numPr>
        <w:ind w:firstLine="640" w:firstLineChars="200"/>
        <w:rPr>
          <w:rFonts w:hint="eastAsia" w:ascii="仿宋_GB2312" w:hAnsi="仿宋" w:eastAsia="仿宋_GB2312"/>
          <w:color w:val="auto"/>
          <w:sz w:val="32"/>
          <w:szCs w:val="32"/>
          <w:highlight w:val="none"/>
        </w:rPr>
      </w:pPr>
      <w:r>
        <w:rPr>
          <w:rFonts w:hint="eastAsia" w:ascii="仿宋_GB2312" w:eastAsia="仿宋_GB2312"/>
          <w:color w:val="auto"/>
          <w:sz w:val="32"/>
          <w:szCs w:val="32"/>
        </w:rPr>
        <w:t>墨脱县住房和城乡建设局，正科级建制，</w:t>
      </w:r>
      <w:r>
        <w:rPr>
          <w:rFonts w:hint="eastAsia" w:ascii="仿宋_GB2312" w:eastAsia="仿宋_GB2312"/>
          <w:color w:val="auto"/>
          <w:sz w:val="32"/>
          <w:szCs w:val="32"/>
          <w:lang w:eastAsia="zh-CN"/>
        </w:rPr>
        <w:t>行政编制</w:t>
      </w:r>
      <w:r>
        <w:rPr>
          <w:rFonts w:hint="eastAsia" w:ascii="仿宋_GB2312" w:eastAsia="仿宋_GB2312"/>
          <w:color w:val="auto"/>
          <w:sz w:val="32"/>
          <w:szCs w:val="32"/>
          <w:lang w:val="en-US" w:eastAsia="zh-CN"/>
        </w:rPr>
        <w:t>3名。科级领导职数3名（不含兼职），</w:t>
      </w:r>
      <w:r>
        <w:rPr>
          <w:rFonts w:hint="eastAsia" w:ascii="仿宋_GB2312" w:eastAsia="仿宋_GB2312"/>
          <w:color w:val="auto"/>
          <w:sz w:val="32"/>
          <w:szCs w:val="32"/>
        </w:rPr>
        <w:t>为墨脱县人民政府工作部门</w:t>
      </w:r>
      <w:r>
        <w:rPr>
          <w:rFonts w:hint="eastAsia" w:ascii="仿宋_GB2312" w:eastAsia="仿宋_GB2312"/>
          <w:color w:val="auto"/>
          <w:sz w:val="32"/>
          <w:szCs w:val="32"/>
          <w:lang w:eastAsia="zh-CN"/>
        </w:rPr>
        <w:t>，</w:t>
      </w:r>
      <w:r>
        <w:rPr>
          <w:rFonts w:hint="eastAsia" w:ascii="仿宋_GB2312" w:eastAsia="仿宋_GB2312"/>
          <w:color w:val="auto"/>
          <w:sz w:val="32"/>
          <w:szCs w:val="32"/>
        </w:rPr>
        <w:t>内设</w:t>
      </w:r>
      <w:r>
        <w:rPr>
          <w:rFonts w:hint="eastAsia" w:ascii="仿宋_GB2312" w:eastAsia="仿宋_GB2312"/>
          <w:color w:val="auto"/>
          <w:sz w:val="32"/>
          <w:szCs w:val="32"/>
          <w:lang w:val="en-US" w:eastAsia="zh-CN"/>
        </w:rPr>
        <w:t>1个</w:t>
      </w:r>
      <w:r>
        <w:rPr>
          <w:rFonts w:hint="eastAsia" w:ascii="仿宋_GB2312" w:eastAsia="仿宋_GB2312"/>
          <w:color w:val="auto"/>
          <w:sz w:val="32"/>
          <w:szCs w:val="32"/>
        </w:rPr>
        <w:t>墨脱县工程质量安全监督站。</w:t>
      </w:r>
    </w:p>
    <w:p>
      <w:pPr>
        <w:spacing w:line="578" w:lineRule="exact"/>
        <w:jc w:val="center"/>
        <w:rPr>
          <w:rFonts w:hint="eastAsia" w:ascii="黑体" w:hAnsi="ˎ̥" w:eastAsia="黑体"/>
          <w:color w:val="auto"/>
          <w:sz w:val="32"/>
          <w:szCs w:val="32"/>
        </w:rPr>
      </w:pPr>
      <w:bookmarkStart w:id="19" w:name="_Toc30690_WPSOffice_Level1"/>
      <w:bookmarkStart w:id="20" w:name="_Toc8164_WPSOffice_Level1"/>
      <w:bookmarkStart w:id="21" w:name="_Toc30451_WPSOffice_Level1"/>
      <w:bookmarkStart w:id="22" w:name="_Toc15521_WPSOffice_Level1"/>
      <w:bookmarkStart w:id="23" w:name="_Toc6234_WPSOffice_Level1"/>
      <w:bookmarkStart w:id="24" w:name="_Toc28253_WPSOffice_Level1"/>
      <w:bookmarkStart w:id="25" w:name="_Toc4029_WPSOffice_Level2"/>
      <w:bookmarkStart w:id="26" w:name="_Toc6211_WPSOffice_Level2"/>
      <w:bookmarkStart w:id="27" w:name="_Toc8867_WPSOffice_Level2"/>
      <w:bookmarkStart w:id="28" w:name="_Toc11518_WPSOffice_Level2"/>
      <w:bookmarkStart w:id="29" w:name="_Toc32695_WPSOffice_Level2"/>
      <w:bookmarkStart w:id="30" w:name="_Toc32472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color w:val="auto"/>
          <w:sz w:val="32"/>
          <w:szCs w:val="32"/>
        </w:rPr>
      </w:pPr>
      <w:bookmarkStart w:id="31" w:name="_Toc26621_WPSOffice_Level2"/>
      <w:bookmarkStart w:id="32" w:name="_Toc25608_WPSOffice_Level2"/>
      <w:bookmarkStart w:id="33" w:name="_Toc28622_WPSOffice_Level2"/>
      <w:bookmarkStart w:id="34" w:name="_Toc14349_WPSOffice_Level2"/>
      <w:bookmarkStart w:id="35" w:name="_Toc23139_WPSOffice_Level2"/>
      <w:bookmarkStart w:id="36" w:name="_Toc30334_WPSOffice_Level2"/>
      <w:r>
        <w:rPr>
          <w:rFonts w:hint="eastAsia" w:ascii="黑体" w:hAnsi="黑体" w:eastAsia="黑体" w:cs="黑体"/>
          <w:color w:val="auto"/>
          <w:sz w:val="32"/>
          <w:szCs w:val="32"/>
        </w:rPr>
        <w:t>二、收入决算公开表</w:t>
      </w:r>
      <w:bookmarkEnd w:id="31"/>
      <w:bookmarkEnd w:id="32"/>
      <w:bookmarkEnd w:id="33"/>
      <w:bookmarkEnd w:id="34"/>
      <w:bookmarkEnd w:id="35"/>
      <w:bookmarkEnd w:id="36"/>
      <w:bookmarkStart w:id="37" w:name="_Toc17626_WPSOffice_Level2"/>
      <w:bookmarkStart w:id="38" w:name="_Toc14658_WPSOffice_Level2"/>
      <w:bookmarkStart w:id="39" w:name="_Toc3262_WPSOffice_Level2"/>
      <w:bookmarkStart w:id="40" w:name="_Toc17858_WPSOffice_Level2"/>
      <w:bookmarkStart w:id="41" w:name="_Toc5489_WPSOffice_Level2"/>
      <w:bookmarkStart w:id="42" w:name="_Toc13854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7"/>
      <w:bookmarkEnd w:id="38"/>
      <w:bookmarkEnd w:id="39"/>
      <w:bookmarkEnd w:id="40"/>
      <w:bookmarkEnd w:id="41"/>
      <w:bookmarkEnd w:id="42"/>
      <w:bookmarkStart w:id="43" w:name="_Toc23591_WPSOffice_Level2"/>
      <w:bookmarkStart w:id="44" w:name="_Toc7988_WPSOffice_Level2"/>
      <w:bookmarkStart w:id="45" w:name="_Toc13701_WPSOffice_Level2"/>
      <w:bookmarkStart w:id="46" w:name="_Toc23493_WPSOffice_Level2"/>
      <w:bookmarkStart w:id="47" w:name="_Toc4265_WPSOffice_Level2"/>
      <w:bookmarkStart w:id="48" w:name="_Toc21415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color w:val="auto"/>
          <w:sz w:val="32"/>
          <w:szCs w:val="32"/>
        </w:rPr>
      </w:pPr>
      <w:bookmarkStart w:id="49" w:name="_Toc25166_WPSOffice_Level2"/>
      <w:bookmarkStart w:id="50" w:name="_Toc7879_WPSOffice_Level2"/>
      <w:bookmarkStart w:id="51" w:name="_Toc23829_WPSOffice_Level2"/>
      <w:bookmarkStart w:id="52" w:name="_Toc22783_WPSOffice_Level2"/>
      <w:bookmarkStart w:id="53" w:name="_Toc2158_WPSOffice_Level2"/>
      <w:bookmarkStart w:id="54" w:name="_Toc13516_WPSOffice_Level2"/>
      <w:r>
        <w:rPr>
          <w:rFonts w:hint="eastAsia" w:ascii="黑体" w:hAnsi="黑体" w:eastAsia="黑体" w:cs="黑体"/>
          <w:color w:val="auto"/>
          <w:sz w:val="32"/>
          <w:szCs w:val="32"/>
        </w:rPr>
        <w:t>五、一般公共预算财政拨款收入支出决算</w:t>
      </w:r>
      <w:bookmarkEnd w:id="49"/>
      <w:bookmarkEnd w:id="50"/>
      <w:bookmarkEnd w:id="51"/>
      <w:bookmarkEnd w:id="52"/>
      <w:r>
        <w:rPr>
          <w:rFonts w:hint="eastAsia" w:ascii="黑体" w:hAnsi="黑体" w:eastAsia="黑体" w:cs="黑体"/>
          <w:color w:val="auto"/>
          <w:sz w:val="32"/>
          <w:szCs w:val="32"/>
        </w:rPr>
        <w:t>公开表</w:t>
      </w:r>
      <w:bookmarkEnd w:id="53"/>
      <w:bookmarkEnd w:id="54"/>
      <w:bookmarkStart w:id="55" w:name="_Toc8373_WPSOffice_Level2"/>
      <w:bookmarkStart w:id="56" w:name="_Toc2632_WPSOffice_Level2"/>
      <w:bookmarkStart w:id="57" w:name="_Toc17833_WPSOffice_Level2"/>
      <w:bookmarkStart w:id="58" w:name="_Toc17283_WPSOffice_Level2"/>
      <w:bookmarkStart w:id="59" w:name="_Toc25362_WPSOffice_Level2"/>
      <w:bookmarkStart w:id="60" w:name="_Toc534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1" w:name="_Toc5594_WPSOffice_Level2"/>
      <w:bookmarkStart w:id="62" w:name="_Toc21310_WPSOffice_Level2"/>
      <w:bookmarkStart w:id="63" w:name="_Toc6020_WPSOffice_Level2"/>
      <w:bookmarkStart w:id="64" w:name="_Toc1533_WPSOffice_Level2"/>
      <w:bookmarkStart w:id="65" w:name="_Toc13345_WPSOffice_Level2"/>
      <w:bookmarkStart w:id="66" w:name="_Toc11799_WPSOffice_Level2"/>
      <w:r>
        <w:rPr>
          <w:rFonts w:hint="eastAsia" w:ascii="黑体" w:hAnsi="黑体" w:eastAsia="黑体" w:cs="黑体"/>
          <w:color w:val="auto"/>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7" w:name="_Toc1820_WPSOffice_Level2"/>
      <w:bookmarkStart w:id="68" w:name="_Toc9377_WPSOffice_Level2"/>
      <w:bookmarkStart w:id="69" w:name="_Toc29886_WPSOffice_Level2"/>
      <w:bookmarkStart w:id="70" w:name="_Toc19961_WPSOffice_Level2"/>
      <w:r>
        <w:rPr>
          <w:rFonts w:hint="eastAsia" w:ascii="黑体" w:hAnsi="黑体" w:eastAsia="黑体" w:cs="黑体"/>
          <w:color w:val="auto"/>
          <w:sz w:val="32"/>
          <w:szCs w:val="32"/>
        </w:rPr>
        <w:t>九、财政拨款“三公”经费支出决算</w:t>
      </w:r>
      <w:bookmarkEnd w:id="67"/>
      <w:bookmarkEnd w:id="68"/>
      <w:bookmarkEnd w:id="69"/>
      <w:bookmarkEnd w:id="70"/>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1" w:name="_Toc29683_WPSOffice_Level1"/>
      <w:bookmarkStart w:id="72" w:name="_Toc16686_WPSOffice_Level1"/>
      <w:bookmarkStart w:id="73" w:name="_Toc4402_WPSOffice_Level1"/>
      <w:bookmarkStart w:id="74" w:name="_Toc31264_WPSOffice_Level1"/>
      <w:bookmarkStart w:id="75" w:name="_Toc28629_WPSOffice_Level1"/>
      <w:bookmarkStart w:id="76" w:name="_Toc27590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20668.7</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20,668.7</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年度相比，收入总计增加</w:t>
      </w:r>
      <w:r>
        <w:rPr>
          <w:rFonts w:hint="eastAsia" w:ascii="仿宋_GB2312" w:hAnsi="ˎ̥" w:eastAsia="仿宋_GB2312"/>
          <w:color w:val="auto"/>
          <w:sz w:val="32"/>
          <w:szCs w:val="32"/>
          <w:lang w:val="en-US" w:eastAsia="zh-CN"/>
        </w:rPr>
        <w:t xml:space="preserve"> 6625.56</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47.18</w:t>
      </w:r>
      <w:r>
        <w:rPr>
          <w:rFonts w:hint="eastAsia" w:ascii="仿宋_GB2312" w:hAnsi="ˎ̥" w:eastAsia="仿宋_GB2312"/>
          <w:color w:val="auto"/>
          <w:sz w:val="32"/>
          <w:szCs w:val="32"/>
        </w:rPr>
        <w:t>%。主要原因</w:t>
      </w:r>
      <w:r>
        <w:rPr>
          <w:rFonts w:hint="eastAsia" w:ascii="仿宋_GB2312" w:hAnsi="仿宋_GB2312" w:eastAsia="仿宋_GB2312" w:cs="仿宋_GB2312"/>
          <w:i w:val="0"/>
          <w:iCs w:val="0"/>
          <w:caps w:val="0"/>
          <w:color w:val="auto"/>
          <w:spacing w:val="0"/>
          <w:sz w:val="32"/>
          <w:szCs w:val="32"/>
          <w:shd w:val="clear" w:color="auto" w:fill="FFFFFF"/>
          <w:lang w:val="en-US" w:eastAsia="zh-CN"/>
        </w:rPr>
        <w:t>为本年度年初预算项目的增加；支出总计增加5003.58万元，增长31.94%，主要原因</w:t>
      </w:r>
      <w:r>
        <w:rPr>
          <w:rFonts w:hint="eastAsia" w:ascii="仿宋" w:hAnsi="仿宋" w:eastAsia="仿宋" w:cs="仿宋"/>
          <w:b w:val="0"/>
          <w:bCs w:val="0"/>
          <w:color w:val="auto"/>
          <w:sz w:val="32"/>
          <w:szCs w:val="32"/>
          <w:lang w:val="en-US" w:eastAsia="zh-CN"/>
        </w:rPr>
        <w:t>为本年预算收入增加。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19,562.37</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1,106.34</w:t>
      </w:r>
      <w:r>
        <w:rPr>
          <w:rFonts w:hint="eastAsia" w:ascii="仿宋_GB2312" w:hAnsi="ˎ̥" w:eastAsia="仿宋_GB2312"/>
          <w:color w:val="auto"/>
          <w:sz w:val="32"/>
          <w:szCs w:val="32"/>
        </w:rPr>
        <w:t>万元，主要是较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default" w:ascii="仿宋_GB2312" w:hAnsi="ˎ̥" w:eastAsia="仿宋_GB2312"/>
          <w:color w:val="auto"/>
          <w:sz w:val="32"/>
          <w:szCs w:val="32"/>
          <w:lang w:val="en-US"/>
        </w:rPr>
        <w:t>1,106.34</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5.65</w:t>
      </w:r>
      <w:r>
        <w:rPr>
          <w:rFonts w:hint="eastAsia" w:ascii="仿宋_GB2312" w:hAnsi="ˎ̥" w:eastAsia="仿宋_GB2312"/>
          <w:color w:val="auto"/>
          <w:sz w:val="32"/>
          <w:szCs w:val="32"/>
        </w:rPr>
        <w:t>%，主要原因</w:t>
      </w:r>
      <w:r>
        <w:rPr>
          <w:rFonts w:hint="eastAsia" w:ascii="仿宋_GB2312" w:hAnsi="仿宋_GB2312" w:eastAsia="仿宋_GB2312" w:cs="仿宋_GB2312"/>
          <w:i w:val="0"/>
          <w:iCs w:val="0"/>
          <w:caps w:val="0"/>
          <w:color w:val="auto"/>
          <w:spacing w:val="0"/>
          <w:sz w:val="32"/>
          <w:szCs w:val="32"/>
          <w:shd w:val="clear" w:color="auto" w:fill="FFFFFF"/>
          <w:lang w:val="en-US" w:eastAsia="zh-CN"/>
        </w:rPr>
        <w:t>本年度年初预算项目的增加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20,668.70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19,562.37</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19,556.80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99.97</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5.56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0.03</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20,668.70</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523.36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2.53</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20,145.34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97.47</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 w:hAnsi="仿宋" w:eastAsia="仿宋" w:cs="仿宋"/>
          <w:b w:val="0"/>
          <w:bCs w:val="0"/>
          <w:color w:val="auto"/>
          <w:sz w:val="32"/>
          <w:szCs w:val="32"/>
          <w:lang w:val="en-US" w:eastAsia="zh-CN"/>
        </w:rPr>
        <w:t>2024年财政拨款收支总预算206,68.7万元、主要为一般公共预算拨款和政府性基金拨款、单位资金收支。</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13694_WPSOffice_Level2"/>
      <w:bookmarkStart w:id="78" w:name="_Toc17398_WPSOffice_Level2"/>
      <w:bookmarkStart w:id="79" w:name="_Toc19665_WPSOffice_Level2"/>
      <w:bookmarkStart w:id="80" w:name="_Toc9989_WPSOffice_Level2"/>
      <w:bookmarkStart w:id="81" w:name="_Toc21737_WPSOffice_Level2"/>
      <w:bookmarkStart w:id="82" w:name="_Toc23005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3" w:name="_Toc23864_WPSOffice_Level2"/>
      <w:bookmarkStart w:id="84" w:name="_Toc19075_WPSOffice_Level2"/>
      <w:bookmarkStart w:id="85" w:name="_Toc2711_WPSOffice_Level2"/>
      <w:bookmarkStart w:id="86" w:name="_Toc27767_WPSOffice_Level2"/>
      <w:bookmarkStart w:id="87" w:name="_Toc19535_WPSOffice_Level2"/>
      <w:bookmarkStart w:id="88" w:name="_Toc18793_WPSOffice_Level2"/>
      <w:r>
        <w:rPr>
          <w:rFonts w:hint="eastAsia" w:ascii="仿宋" w:hAnsi="仿宋" w:eastAsia="仿宋" w:cs="仿宋"/>
          <w:b w:val="0"/>
          <w:bCs w:val="0"/>
          <w:color w:val="auto"/>
          <w:sz w:val="32"/>
          <w:szCs w:val="32"/>
          <w:lang w:val="en-US" w:eastAsia="zh-CN"/>
        </w:rPr>
        <w:t>2024年一般公共预算财政拨款年初预算数收入支出均为：6,949.78万元，</w:t>
      </w:r>
      <w:r>
        <w:rPr>
          <w:rFonts w:hint="eastAsia" w:ascii="仿宋_GB2312" w:hAnsi="仿宋_GB2312" w:eastAsia="仿宋_GB2312" w:cs="仿宋_GB2312"/>
          <w:i w:val="0"/>
          <w:iCs w:val="0"/>
          <w:caps w:val="0"/>
          <w:color w:val="auto"/>
          <w:spacing w:val="0"/>
          <w:sz w:val="32"/>
          <w:szCs w:val="32"/>
          <w:shd w:val="clear" w:color="auto" w:fill="FFFFFF"/>
        </w:rPr>
        <w:t>与</w:t>
      </w:r>
      <w:r>
        <w:rPr>
          <w:rFonts w:hint="eastAsia" w:ascii="仿宋_GB2312" w:hAnsi="仿宋_GB2312" w:eastAsia="仿宋_GB2312" w:cs="仿宋_GB2312"/>
          <w:i w:val="0"/>
          <w:iCs w:val="0"/>
          <w:caps w:val="0"/>
          <w:color w:val="auto"/>
          <w:spacing w:val="0"/>
          <w:sz w:val="32"/>
          <w:szCs w:val="32"/>
          <w:shd w:val="clear" w:color="auto" w:fill="FFFFFF"/>
          <w:lang w:val="en-US" w:eastAsia="zh-CN"/>
        </w:rPr>
        <w:t>2023</w:t>
      </w:r>
      <w:r>
        <w:rPr>
          <w:rFonts w:hint="eastAsia" w:ascii="仿宋_GB2312" w:hAnsi="仿宋_GB2312" w:eastAsia="仿宋_GB2312" w:cs="仿宋_GB2312"/>
          <w:i w:val="0"/>
          <w:iCs w:val="0"/>
          <w:caps w:val="0"/>
          <w:color w:val="auto"/>
          <w:spacing w:val="0"/>
          <w:sz w:val="32"/>
          <w:szCs w:val="32"/>
          <w:shd w:val="clear" w:color="auto" w:fill="FFFFFF"/>
        </w:rPr>
        <w:t>年相比，收</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支总计增加3923.27万元，增长率为65%，增加的主要原因为本年度年初预算项目的增加。</w:t>
      </w:r>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19,212.70</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社会保障和就业</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50.81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0.26</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2961.3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15.41</w:t>
      </w:r>
      <w:r>
        <w:rPr>
          <w:rFonts w:hint="eastAsia" w:ascii="仿宋_GB2312" w:hAnsi="ˎ̥" w:eastAsia="仿宋_GB2312"/>
          <w:color w:val="auto"/>
          <w:sz w:val="32"/>
          <w:szCs w:val="32"/>
        </w:rPr>
        <w:t>%；</w:t>
      </w:r>
      <w:r>
        <w:rPr>
          <w:rFonts w:hint="eastAsia" w:ascii="仿宋_GB2312" w:hAnsi="ˎ̥" w:eastAsia="仿宋_GB2312"/>
          <w:b/>
          <w:bCs/>
          <w:color w:val="auto"/>
          <w:sz w:val="32"/>
          <w:szCs w:val="32"/>
          <w:lang w:val="en-US" w:eastAsia="zh-CN"/>
        </w:rPr>
        <w:t>节能环保</w:t>
      </w:r>
      <w:r>
        <w:rPr>
          <w:rFonts w:hint="eastAsia" w:ascii="仿宋_GB2312" w:hAnsi="ˎ̥" w:eastAsia="仿宋_GB2312"/>
          <w:color w:val="auto"/>
          <w:sz w:val="32"/>
          <w:szCs w:val="32"/>
          <w:lang w:val="en-US" w:eastAsia="zh-CN"/>
        </w:rPr>
        <w:t>支出1215.44万元，占6.32%；</w:t>
      </w:r>
      <w:r>
        <w:rPr>
          <w:rFonts w:hint="eastAsia" w:ascii="仿宋_GB2312" w:hAnsi="ˎ̥" w:eastAsia="仿宋_GB2312"/>
          <w:b/>
          <w:bCs/>
          <w:color w:val="auto"/>
          <w:sz w:val="32"/>
          <w:szCs w:val="32"/>
          <w:lang w:val="en-US" w:eastAsia="zh-CN"/>
        </w:rPr>
        <w:t>城乡社区</w:t>
      </w:r>
      <w:r>
        <w:rPr>
          <w:rFonts w:hint="eastAsia" w:ascii="仿宋_GB2312" w:hAnsi="ˎ̥" w:eastAsia="仿宋_GB2312"/>
          <w:color w:val="auto"/>
          <w:sz w:val="32"/>
          <w:szCs w:val="32"/>
          <w:lang w:val="en-US" w:eastAsia="zh-CN"/>
        </w:rPr>
        <w:t>支出 14954.52万元，占 78.01%</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9502_WPSOffice_Level2"/>
      <w:bookmarkStart w:id="90" w:name="_Toc22318_WPSOffice_Level2"/>
      <w:bookmarkStart w:id="91" w:name="_Toc25136_WPSOffice_Level2"/>
      <w:bookmarkStart w:id="92" w:name="_Toc15415_WPSOffice_Level2"/>
      <w:bookmarkStart w:id="93" w:name="_Toc29364_WPSOffice_Level2"/>
      <w:bookmarkStart w:id="94" w:name="_Toc21701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pPr>
        <w:numPr>
          <w:ilvl w:val="0"/>
          <w:numId w:val="0"/>
        </w:numPr>
        <w:spacing w:line="560" w:lineRule="exact"/>
        <w:ind w:firstLine="640"/>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 w:hAnsi="仿宋" w:eastAsia="仿宋" w:cs="仿宋"/>
          <w:b w:val="0"/>
          <w:bCs w:val="0"/>
          <w:color w:val="auto"/>
          <w:sz w:val="32"/>
          <w:szCs w:val="32"/>
          <w:lang w:val="en-US" w:eastAsia="zh-CN"/>
        </w:rPr>
        <w:t>2024年一般公共预算财政拨款年初预算数收入支出均为：6,949.78万元，</w:t>
      </w:r>
      <w:r>
        <w:rPr>
          <w:rFonts w:hint="eastAsia" w:ascii="仿宋_GB2312" w:hAnsi="仿宋_GB2312" w:eastAsia="仿宋_GB2312" w:cs="仿宋_GB2312"/>
          <w:i w:val="0"/>
          <w:iCs w:val="0"/>
          <w:caps w:val="0"/>
          <w:color w:val="auto"/>
          <w:spacing w:val="0"/>
          <w:sz w:val="32"/>
          <w:szCs w:val="32"/>
          <w:shd w:val="clear" w:color="auto" w:fill="FFFFFF"/>
        </w:rPr>
        <w:t>与</w:t>
      </w:r>
      <w:r>
        <w:rPr>
          <w:rFonts w:hint="eastAsia" w:ascii="仿宋_GB2312" w:hAnsi="仿宋_GB2312" w:eastAsia="仿宋_GB2312" w:cs="仿宋_GB2312"/>
          <w:i w:val="0"/>
          <w:iCs w:val="0"/>
          <w:caps w:val="0"/>
          <w:color w:val="auto"/>
          <w:spacing w:val="0"/>
          <w:sz w:val="32"/>
          <w:szCs w:val="32"/>
          <w:shd w:val="clear" w:color="auto" w:fill="FFFFFF"/>
          <w:lang w:val="en-US" w:eastAsia="zh-CN"/>
        </w:rPr>
        <w:t>2023</w:t>
      </w:r>
      <w:r>
        <w:rPr>
          <w:rFonts w:hint="eastAsia" w:ascii="仿宋_GB2312" w:hAnsi="仿宋_GB2312" w:eastAsia="仿宋_GB2312" w:cs="仿宋_GB2312"/>
          <w:i w:val="0"/>
          <w:iCs w:val="0"/>
          <w:caps w:val="0"/>
          <w:color w:val="auto"/>
          <w:spacing w:val="0"/>
          <w:sz w:val="32"/>
          <w:szCs w:val="32"/>
          <w:shd w:val="clear" w:color="auto" w:fill="FFFFFF"/>
        </w:rPr>
        <w:t>年相比，收</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支总计增加3923.27万元，增长率为65%，增加的主要原因为本年度年初预算项目的增加。</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523.36</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498.92</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24.44</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numPr>
          <w:ilvl w:val="0"/>
          <w:numId w:val="0"/>
        </w:numPr>
        <w:spacing w:line="560" w:lineRule="exact"/>
        <w:ind w:firstLine="640"/>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1,450.44</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7.01</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w:t>
      </w:r>
      <w:r>
        <w:rPr>
          <w:rFonts w:hint="eastAsia" w:ascii="仿宋_GB2312" w:hAnsi="仿宋_GB2312" w:eastAsia="仿宋_GB2312" w:cs="仿宋_GB2312"/>
          <w:i w:val="0"/>
          <w:iCs w:val="0"/>
          <w:caps w:val="0"/>
          <w:color w:val="auto"/>
          <w:spacing w:val="0"/>
          <w:sz w:val="32"/>
          <w:szCs w:val="32"/>
          <w:shd w:val="clear" w:color="auto" w:fill="FFFFFF"/>
          <w:lang w:val="en-US" w:eastAsia="zh-CN"/>
        </w:rPr>
        <w:t>增加3923.27万元，增长率为65%，增加的主要原因为本年度年初预算项目的增加。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1,450.44</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其他</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1450.44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color w:val="auto"/>
        </w:rPr>
      </w:pPr>
      <w:r>
        <w:rPr>
          <w:rFonts w:hint="eastAsia" w:ascii="黑体" w:hAnsi="黑体" w:eastAsia="黑体" w:cs="黑体"/>
          <w:bCs/>
          <w:color w:val="auto"/>
          <w:sz w:val="32"/>
          <w:szCs w:val="32"/>
          <w:lang w:val="en-US" w:eastAsia="zh-CN"/>
        </w:rPr>
        <w:t>八、</w:t>
      </w:r>
      <w:r>
        <w:rPr>
          <w:rFonts w:hint="eastAsia" w:ascii="黑体" w:hAnsi="黑体" w:eastAsia="黑体" w:cs="黑体"/>
          <w:bCs/>
          <w:color w:val="auto"/>
          <w:sz w:val="32"/>
          <w:szCs w:val="32"/>
        </w:rPr>
        <w:t>国有资本经营预算财政拨款支出决算情况说明</w:t>
      </w:r>
    </w:p>
    <w:p>
      <w:pPr>
        <w:numPr>
          <w:ilvl w:val="0"/>
          <w:numId w:val="0"/>
        </w:numPr>
        <w:spacing w:line="560" w:lineRule="exact"/>
        <w:ind w:firstLine="640"/>
        <w:rPr>
          <w:rFonts w:hint="eastAsia"/>
          <w:color w:val="auto"/>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本单位无涉及。</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7.32</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7.32</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w:t>
      </w:r>
      <w:r>
        <w:rPr>
          <w:rFonts w:hint="eastAsia" w:ascii="仿宋_GB2312" w:hAnsi="ˎ̥" w:eastAsia="仿宋_GB2312"/>
          <w:color w:val="auto"/>
          <w:sz w:val="32"/>
          <w:szCs w:val="32"/>
          <w:lang w:val="en-US" w:eastAsia="zh-CN"/>
        </w:rPr>
        <w:t>减少13.37</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下降64.63</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援藏公务用车运行维护费不列支</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年度财政拨款“三公”经费支出决算中，公务用车购置及运行维护费支出决算</w:t>
      </w:r>
      <w:r>
        <w:rPr>
          <w:rFonts w:hint="default" w:ascii="仿宋_GB2312" w:hAnsi="ˎ̥" w:eastAsia="仿宋_GB2312"/>
          <w:color w:val="auto"/>
          <w:sz w:val="32"/>
          <w:szCs w:val="32"/>
          <w:lang w:val="en-US"/>
        </w:rPr>
        <w:t>7.32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7.32</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7.32</w:t>
      </w:r>
      <w:r>
        <w:rPr>
          <w:rFonts w:hint="eastAsia" w:ascii="仿宋_GB2312" w:hAnsi="ˎ̥" w:eastAsia="仿宋_GB2312"/>
          <w:color w:val="auto"/>
          <w:sz w:val="32"/>
          <w:szCs w:val="32"/>
        </w:rPr>
        <w:t>万元，主要用</w:t>
      </w:r>
      <w:r>
        <w:rPr>
          <w:rFonts w:hint="eastAsia" w:ascii="仿宋_GB2312" w:hAnsi="ˎ̥" w:eastAsia="仿宋_GB2312"/>
          <w:color w:val="auto"/>
          <w:sz w:val="32"/>
          <w:szCs w:val="32"/>
          <w:lang w:val="en-US" w:eastAsia="zh-CN"/>
        </w:rPr>
        <w:t>于公务用车油料费，维修费，驾驶员差旅费</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根据财政预算绩效管理要求</w:t>
      </w:r>
      <w:r>
        <w:rPr>
          <w:rFonts w:hint="eastAsia" w:ascii="仿宋_GB2312" w:eastAsia="仿宋_GB2312"/>
          <w:color w:val="auto"/>
          <w:sz w:val="32"/>
          <w:szCs w:val="32"/>
          <w:lang w:eastAsia="zh-CN"/>
        </w:rPr>
        <w:t>，</w:t>
      </w:r>
      <w:r>
        <w:rPr>
          <w:rFonts w:hint="eastAsia" w:ascii="仿宋_GB2312" w:eastAsia="仿宋_GB2312"/>
          <w:color w:val="auto"/>
          <w:sz w:val="32"/>
          <w:szCs w:val="32"/>
        </w:rPr>
        <w:t>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项目82个，共涉及资金20668.7万元，占一般公共预算项目支出总额的100%</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从评价情况来看，项目立项程序规范完整，绩效目标设置合理，与实际需求相符，项目业务管理制度健全，质量管控措施有效，各项业务有效开展，项目财务管理制度完善，资金使用规范有效，项目预期的绩效目标完成率高，均达到了预期效果，完成质量达到标准要求，时效性强，效益显著。</w:t>
      </w:r>
    </w:p>
    <w:p>
      <w:pPr>
        <w:pStyle w:val="2"/>
        <w:rPr>
          <w:rFonts w:hint="eastAsia" w:ascii="仿宋_GB2312" w:eastAsia="仿宋_GB2312"/>
          <w:color w:val="auto"/>
          <w:sz w:val="32"/>
          <w:szCs w:val="32"/>
          <w:lang w:val="en-US" w:eastAsia="zh-CN"/>
        </w:rPr>
      </w:pPr>
    </w:p>
    <w:p>
      <w:pPr>
        <w:rPr>
          <w:rFonts w:hint="eastAsia" w:ascii="仿宋_GB2312" w:eastAsia="仿宋_GB2312"/>
          <w:color w:val="auto"/>
          <w:sz w:val="32"/>
          <w:szCs w:val="32"/>
          <w:lang w:val="en-US" w:eastAsia="zh-CN"/>
        </w:rPr>
      </w:pPr>
    </w:p>
    <w:p>
      <w:pPr>
        <w:pStyle w:val="2"/>
        <w:rPr>
          <w:rFonts w:hint="default"/>
          <w:lang w:val="en-US" w:eastAsia="zh-CN"/>
        </w:rPr>
      </w:pPr>
      <w:bookmarkStart w:id="101" w:name="_GoBack"/>
      <w:bookmarkEnd w:id="10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95" w:name="_Toc11039_WPSOffice_Level1"/>
      <w:bookmarkStart w:id="96" w:name="_Toc8874_WPSOffice_Level1"/>
      <w:bookmarkStart w:id="97" w:name="_Toc15425_WPSOffice_Level1"/>
      <w:bookmarkStart w:id="98" w:name="_Toc8808_WPSOffice_Level1"/>
      <w:bookmarkStart w:id="99" w:name="_Toc17580_WPSOffice_Level1"/>
      <w:bookmarkStart w:id="100" w:name="_Toc4398_WPSOffice_Level1"/>
      <w:r>
        <w:rPr>
          <w:rFonts w:hint="eastAsia" w:ascii="黑体" w:hAnsi="ˎ̥" w:eastAsia="黑体"/>
          <w:color w:val="auto"/>
          <w:sz w:val="32"/>
          <w:szCs w:val="32"/>
        </w:rPr>
        <w:t>第四部分  名词解释</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abstractNum w:abstractNumId="2">
    <w:nsid w:val="7F4960A0"/>
    <w:multiLevelType w:val="singleLevel"/>
    <w:tmpl w:val="7F4960A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277C9"/>
    <w:rsid w:val="0046375D"/>
    <w:rsid w:val="004C755C"/>
    <w:rsid w:val="004D515A"/>
    <w:rsid w:val="004D5572"/>
    <w:rsid w:val="0050273F"/>
    <w:rsid w:val="00513897"/>
    <w:rsid w:val="00530C81"/>
    <w:rsid w:val="005C43A2"/>
    <w:rsid w:val="005E64FB"/>
    <w:rsid w:val="005F5987"/>
    <w:rsid w:val="00602EED"/>
    <w:rsid w:val="006732AF"/>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42975"/>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154EDD"/>
    <w:rsid w:val="018E53BB"/>
    <w:rsid w:val="01981D96"/>
    <w:rsid w:val="031713E0"/>
    <w:rsid w:val="03A82039"/>
    <w:rsid w:val="03CF75C5"/>
    <w:rsid w:val="03FB485E"/>
    <w:rsid w:val="04E672BC"/>
    <w:rsid w:val="05EF21A1"/>
    <w:rsid w:val="088F5575"/>
    <w:rsid w:val="09201287"/>
    <w:rsid w:val="0A27015B"/>
    <w:rsid w:val="0AE71698"/>
    <w:rsid w:val="0B424B21"/>
    <w:rsid w:val="0B603134"/>
    <w:rsid w:val="0B674587"/>
    <w:rsid w:val="0C210BDA"/>
    <w:rsid w:val="0D4A5F0F"/>
    <w:rsid w:val="0DBC0BBA"/>
    <w:rsid w:val="0DCE6B40"/>
    <w:rsid w:val="0EF3685E"/>
    <w:rsid w:val="0F1F3AF7"/>
    <w:rsid w:val="0FC80124"/>
    <w:rsid w:val="102869DB"/>
    <w:rsid w:val="10B042A0"/>
    <w:rsid w:val="11DD6828"/>
    <w:rsid w:val="122D02D9"/>
    <w:rsid w:val="131359A0"/>
    <w:rsid w:val="136F98C7"/>
    <w:rsid w:val="137A57A0"/>
    <w:rsid w:val="143D057B"/>
    <w:rsid w:val="165745BF"/>
    <w:rsid w:val="17092996"/>
    <w:rsid w:val="172A128B"/>
    <w:rsid w:val="17427E68"/>
    <w:rsid w:val="1755065F"/>
    <w:rsid w:val="18AE37F5"/>
    <w:rsid w:val="1A077661"/>
    <w:rsid w:val="1A5DEE0B"/>
    <w:rsid w:val="1AE31E7C"/>
    <w:rsid w:val="1AFC29C9"/>
    <w:rsid w:val="1B7C5E2D"/>
    <w:rsid w:val="1B80591D"/>
    <w:rsid w:val="1CA52F2E"/>
    <w:rsid w:val="1CE75528"/>
    <w:rsid w:val="1D0B1216"/>
    <w:rsid w:val="1D322C47"/>
    <w:rsid w:val="1DFE0D7B"/>
    <w:rsid w:val="1DFE370B"/>
    <w:rsid w:val="1E3630B9"/>
    <w:rsid w:val="1EE53CE9"/>
    <w:rsid w:val="1FB02549"/>
    <w:rsid w:val="20191E9C"/>
    <w:rsid w:val="204333BD"/>
    <w:rsid w:val="206C46C2"/>
    <w:rsid w:val="20825C93"/>
    <w:rsid w:val="20F070A1"/>
    <w:rsid w:val="2190618E"/>
    <w:rsid w:val="2221772E"/>
    <w:rsid w:val="22FB1D2D"/>
    <w:rsid w:val="25124D86"/>
    <w:rsid w:val="25A22934"/>
    <w:rsid w:val="25B05051"/>
    <w:rsid w:val="25C74149"/>
    <w:rsid w:val="26EEC2B5"/>
    <w:rsid w:val="29472309"/>
    <w:rsid w:val="295C2DFA"/>
    <w:rsid w:val="29A0362E"/>
    <w:rsid w:val="2A007C29"/>
    <w:rsid w:val="2B2B1764"/>
    <w:rsid w:val="2B330D0F"/>
    <w:rsid w:val="2B406E77"/>
    <w:rsid w:val="2C2A0C43"/>
    <w:rsid w:val="2C98683F"/>
    <w:rsid w:val="2D1E73A5"/>
    <w:rsid w:val="2D55028C"/>
    <w:rsid w:val="2D7050C6"/>
    <w:rsid w:val="2D9D410D"/>
    <w:rsid w:val="2E1168A9"/>
    <w:rsid w:val="2E7F1A64"/>
    <w:rsid w:val="315947EF"/>
    <w:rsid w:val="319C0B7F"/>
    <w:rsid w:val="31C12394"/>
    <w:rsid w:val="32717154"/>
    <w:rsid w:val="32DF2AD1"/>
    <w:rsid w:val="33CB12A8"/>
    <w:rsid w:val="344219DC"/>
    <w:rsid w:val="34B63260"/>
    <w:rsid w:val="35243365"/>
    <w:rsid w:val="35A149B6"/>
    <w:rsid w:val="35FE5964"/>
    <w:rsid w:val="36356EAC"/>
    <w:rsid w:val="364D069A"/>
    <w:rsid w:val="36835E6A"/>
    <w:rsid w:val="36A91D74"/>
    <w:rsid w:val="36F36B6E"/>
    <w:rsid w:val="37517D16"/>
    <w:rsid w:val="3757357E"/>
    <w:rsid w:val="37B81B43"/>
    <w:rsid w:val="37FDA7E2"/>
    <w:rsid w:val="38166920"/>
    <w:rsid w:val="3872263A"/>
    <w:rsid w:val="39032188"/>
    <w:rsid w:val="397C551E"/>
    <w:rsid w:val="3A1C460B"/>
    <w:rsid w:val="3A314D88"/>
    <w:rsid w:val="3A746883"/>
    <w:rsid w:val="3A810912"/>
    <w:rsid w:val="3AAD5BAB"/>
    <w:rsid w:val="3AD44EE6"/>
    <w:rsid w:val="3AE27603"/>
    <w:rsid w:val="3BFB159A"/>
    <w:rsid w:val="3C0435A9"/>
    <w:rsid w:val="3C991F43"/>
    <w:rsid w:val="3CA15DE9"/>
    <w:rsid w:val="3CC64D02"/>
    <w:rsid w:val="3EFE4C27"/>
    <w:rsid w:val="3F870779"/>
    <w:rsid w:val="3FE61EE5"/>
    <w:rsid w:val="406508EE"/>
    <w:rsid w:val="408D6263"/>
    <w:rsid w:val="40E57E4D"/>
    <w:rsid w:val="41B40CEE"/>
    <w:rsid w:val="44935E12"/>
    <w:rsid w:val="4545710C"/>
    <w:rsid w:val="457B0D80"/>
    <w:rsid w:val="48317291"/>
    <w:rsid w:val="485F7024"/>
    <w:rsid w:val="48E70666"/>
    <w:rsid w:val="48EC3D42"/>
    <w:rsid w:val="49AB775A"/>
    <w:rsid w:val="49D47534"/>
    <w:rsid w:val="4A1D0657"/>
    <w:rsid w:val="4B180E1F"/>
    <w:rsid w:val="4B55797D"/>
    <w:rsid w:val="4BD41FDF"/>
    <w:rsid w:val="4C6877E5"/>
    <w:rsid w:val="4D534390"/>
    <w:rsid w:val="4D6A468D"/>
    <w:rsid w:val="4DDC6134"/>
    <w:rsid w:val="4E6E5A2C"/>
    <w:rsid w:val="4EA86137"/>
    <w:rsid w:val="4EFB6A8D"/>
    <w:rsid w:val="4FA17635"/>
    <w:rsid w:val="4FA62E9D"/>
    <w:rsid w:val="50A13664"/>
    <w:rsid w:val="50D15CF8"/>
    <w:rsid w:val="525E180D"/>
    <w:rsid w:val="52A82A88"/>
    <w:rsid w:val="53312A7E"/>
    <w:rsid w:val="534C2D16"/>
    <w:rsid w:val="536E5A80"/>
    <w:rsid w:val="56CA7FD0"/>
    <w:rsid w:val="57A31A70"/>
    <w:rsid w:val="57FA38D1"/>
    <w:rsid w:val="598002BB"/>
    <w:rsid w:val="598853C1"/>
    <w:rsid w:val="5A032C9A"/>
    <w:rsid w:val="5BC87CF7"/>
    <w:rsid w:val="5C677510"/>
    <w:rsid w:val="5C8A31FF"/>
    <w:rsid w:val="5CC6692D"/>
    <w:rsid w:val="5D1F428F"/>
    <w:rsid w:val="5DFD39BB"/>
    <w:rsid w:val="5E084D23"/>
    <w:rsid w:val="5EC56770"/>
    <w:rsid w:val="5F3833E6"/>
    <w:rsid w:val="5F7D3333"/>
    <w:rsid w:val="61385890"/>
    <w:rsid w:val="62FE2ACC"/>
    <w:rsid w:val="63576530"/>
    <w:rsid w:val="63957059"/>
    <w:rsid w:val="63B5571F"/>
    <w:rsid w:val="643979E4"/>
    <w:rsid w:val="64CC6AAA"/>
    <w:rsid w:val="64DD2A65"/>
    <w:rsid w:val="6504510C"/>
    <w:rsid w:val="663568D1"/>
    <w:rsid w:val="66663C7C"/>
    <w:rsid w:val="67CC0B6F"/>
    <w:rsid w:val="682664D1"/>
    <w:rsid w:val="683D4FB0"/>
    <w:rsid w:val="687436E1"/>
    <w:rsid w:val="690C3919"/>
    <w:rsid w:val="69DB7A7D"/>
    <w:rsid w:val="6DA45C50"/>
    <w:rsid w:val="6DFB21AE"/>
    <w:rsid w:val="6E6C09B6"/>
    <w:rsid w:val="6E9A7825"/>
    <w:rsid w:val="6F03756C"/>
    <w:rsid w:val="6F670F9B"/>
    <w:rsid w:val="6FED3D79"/>
    <w:rsid w:val="70373794"/>
    <w:rsid w:val="70FE448F"/>
    <w:rsid w:val="718F3339"/>
    <w:rsid w:val="723B526F"/>
    <w:rsid w:val="72A050D2"/>
    <w:rsid w:val="737450E0"/>
    <w:rsid w:val="74054476"/>
    <w:rsid w:val="742F38C4"/>
    <w:rsid w:val="74345DC0"/>
    <w:rsid w:val="748527D2"/>
    <w:rsid w:val="748F3650"/>
    <w:rsid w:val="74AB66DC"/>
    <w:rsid w:val="74C4154C"/>
    <w:rsid w:val="75956FFF"/>
    <w:rsid w:val="759929D8"/>
    <w:rsid w:val="77752FD1"/>
    <w:rsid w:val="77AA2D01"/>
    <w:rsid w:val="7B222615"/>
    <w:rsid w:val="7C042B76"/>
    <w:rsid w:val="7C0E7550"/>
    <w:rsid w:val="7C6F4493"/>
    <w:rsid w:val="7CDE1DBD"/>
    <w:rsid w:val="7D943A85"/>
    <w:rsid w:val="7DA95783"/>
    <w:rsid w:val="7DB0448C"/>
    <w:rsid w:val="7E5F9AA4"/>
    <w:rsid w:val="7F08472B"/>
    <w:rsid w:val="7F097E7A"/>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annotation text"/>
    <w:basedOn w:val="1"/>
    <w:link w:val="13"/>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4"/>
    <w:qFormat/>
    <w:uiPriority w:val="0"/>
    <w:rPr>
      <w:kern w:val="2"/>
      <w:sz w:val="21"/>
      <w:szCs w:val="24"/>
    </w:rPr>
  </w:style>
  <w:style w:type="character" w:customStyle="1" w:styleId="14">
    <w:name w:val="批注框文本 Char"/>
    <w:link w:val="5"/>
    <w:qFormat/>
    <w:uiPriority w:val="0"/>
    <w:rPr>
      <w:kern w:val="2"/>
      <w:sz w:val="18"/>
      <w:szCs w:val="18"/>
    </w:rPr>
  </w:style>
  <w:style w:type="character" w:customStyle="1" w:styleId="15">
    <w:name w:val="页眉 Char"/>
    <w:link w:val="7"/>
    <w:qFormat/>
    <w:uiPriority w:val="0"/>
    <w:rPr>
      <w:kern w:val="2"/>
      <w:sz w:val="18"/>
      <w:szCs w:val="18"/>
    </w:rPr>
  </w:style>
  <w:style w:type="character" w:customStyle="1" w:styleId="16">
    <w:name w:val="批注主题 Char"/>
    <w:link w:val="8"/>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5297</Words>
  <Characters>5696</Characters>
  <Lines>67</Lines>
  <Paragraphs>18</Paragraphs>
  <TotalTime>29</TotalTime>
  <ScaleCrop>false</ScaleCrop>
  <LinksUpToDate>false</LinksUpToDate>
  <CharactersWithSpaces>5756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2025-11-04T10:50:00Z</cp:lastPrinted>
  <dcterms:modified xsi:type="dcterms:W3CDTF">2025-11-05T19:30:24Z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B38771814A7F475FB19D7EADA6D7AA59_13</vt:lpwstr>
  </property>
  <property fmtid="{D5CDD505-2E9C-101B-9397-08002B2CF9AE}" pid="4" name="KSOTemplateDocerSaveRecord">
    <vt:lpwstr>eyJoZGlkIjoiY2VlZThlZDk5ZTQ4MTFjNGY3MjIxNTdiOWMzZmQwMWMiLCJ1c2VySWQiOiIyMzQ5MTc1OTYifQ==</vt:lpwstr>
  </property>
</Properties>
</file>