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eastAsia="zh-CN"/>
        </w:rPr>
        <w:t>公安局</w:t>
      </w:r>
      <w:r>
        <w:rPr>
          <w:rFonts w:hint="eastAsia" w:asciiTheme="majorEastAsia" w:hAnsiTheme="majorEastAsia" w:eastAsiaTheme="majorEastAsia" w:cstheme="majorEastAsia"/>
          <w:b/>
          <w:bCs/>
          <w:color w:val="auto"/>
          <w:sz w:val="44"/>
          <w:szCs w:val="44"/>
        </w:rPr>
        <w:t>机关2024年度部门决算</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23"/>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3"/>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23"/>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24"/>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24"/>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24"/>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23"/>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10049_WPSOffice_Level1"/>
      <w:bookmarkStart w:id="4" w:name="_Toc32433_WPSOffice_Level1"/>
      <w:bookmarkStart w:id="5" w:name="_Toc23465_WPSOffice_Level1"/>
      <w:bookmarkStart w:id="6" w:name="_Toc1704_WPSOffice_Level1"/>
      <w:bookmarkStart w:id="7" w:name="_Toc22941_WPSOffice_Level1"/>
      <w:bookmarkStart w:id="8" w:name="_Toc24238_WPSOffice_Level2"/>
      <w:bookmarkStart w:id="9" w:name="_Toc26580_WPSOffice_Level2"/>
      <w:bookmarkStart w:id="10" w:name="_Toc14159_WPSOffice_Level2"/>
      <w:bookmarkStart w:id="11" w:name="_Toc32622_WPSOffice_Level2"/>
      <w:bookmarkStart w:id="12" w:name="_Toc20274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24059_WPSOffice_Level2"/>
      <w:bookmarkStart w:id="15" w:name="_Toc24474_WPSOffice_Level2"/>
      <w:bookmarkStart w:id="16" w:name="_Toc17796_WPSOffice_Level2"/>
      <w:bookmarkStart w:id="17" w:name="_Toc4833_WPSOffice_Level2"/>
      <w:bookmarkStart w:id="18" w:name="_Toc6572_WPSOffice_Level2"/>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1.贯彻执行方针政策 ：贯彻执行国家公安工作的方针、政策、法律、法规、规章和县委、县政府、上级公安机关的指示，部署开展全县公安工作。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2.维护社会稳定 ：收集、掌握影响社会稳定、危害国内安全和社会治安的情况，分析研判形势，制定对策，防范、处置邪教及有害气功组织的违法犯罪活动。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3.打击违法犯罪 ：负责全县公安侦查工作，侦办刑事犯罪案件、国内危害国家政治安全犯罪案件、经济犯罪案件，以及环境资源、食品药品、知识产权等领域犯罪案件。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4.治安管理 ：依法查处危害社会治安秩序行为，管理户籍、流动人口、居民身份证、枪支弹药、危险物品和特种行业等工作。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5.出入境管理 ：组织指导出入境和外国人在境内居留、旅游的有关管理工作，管理全县出入境、外事及外国人事务。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6.交通管理 ：维护道路交通安全、交通秩序，处理交通事故，依法开展机动车辆和机动车驾驶员管理工作。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7.网络安全保护 ：组织实施并指导、监督公共信息网络安全监察工作，保障公共信息网络安全，打击网络违法犯罪。</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8.监所管理 ：指导、监督公安机关依法承担的执行刑罚和监督、考察工作，组织实施并指导、监督看守所、治安拘留所的管理工作。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9.公安法制建设 ：组织实施并指导全县公安法制建设，指导、检查、监督公安机关执法活动，确保执法的合法性和公正性。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10.队伍建设 ：负责全县公安队伍建设和党风廉政建设，包括人事管理、教育训练、新闻宣传、警务辅助人员管理和督察、审计、信访工作等。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11.警务保障 ：拟定全县公安机关装备、被装和经费等警务保障计划和管理制度，负责全县公安机关重大任务的警务保障工作。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12.承办其他事项 ：承办县委、县政府、上级公安机关交办的其他工作。</w:t>
      </w:r>
    </w:p>
    <w:p>
      <w:pPr>
        <w:spacing w:line="578" w:lineRule="exact"/>
        <w:ind w:firstLine="320" w:firstLineChars="1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pStyle w:val="26"/>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 w:hAnsi="仿宋" w:eastAsia="仿宋"/>
          <w:color w:val="000000"/>
          <w:sz w:val="32"/>
          <w:szCs w:val="30"/>
        </w:rPr>
      </w:pPr>
      <w:bookmarkStart w:id="19" w:name="_Toc30451_WPSOffice_Level1"/>
      <w:bookmarkStart w:id="20" w:name="_Toc6234_WPSOffice_Level1"/>
      <w:bookmarkStart w:id="21" w:name="_Toc28253_WPSOffice_Level1"/>
      <w:bookmarkStart w:id="22" w:name="_Toc30690_WPSOffice_Level1"/>
      <w:bookmarkStart w:id="23" w:name="_Toc8164_WPSOffice_Level1"/>
      <w:bookmarkStart w:id="24" w:name="_Toc32695_WPSOffice_Level2"/>
      <w:bookmarkStart w:id="25" w:name="_Toc8867_WPSOffice_Level2"/>
      <w:bookmarkStart w:id="26" w:name="_Toc6211_WPSOffice_Level2"/>
      <w:bookmarkStart w:id="27" w:name="_Toc11518_WPSOffice_Level2"/>
      <w:bookmarkStart w:id="28" w:name="_Toc4029_WPSOffice_Level2"/>
      <w:bookmarkStart w:id="29" w:name="_Toc32472_WPSOffice_Level2"/>
      <w:bookmarkStart w:id="30" w:name="_Toc15521_WPSOffice_Level1"/>
      <w:r>
        <w:rPr>
          <w:rFonts w:hint="eastAsia" w:ascii="仿宋" w:hAnsi="仿宋" w:eastAsia="仿宋"/>
          <w:color w:val="000000"/>
          <w:sz w:val="32"/>
          <w:szCs w:val="30"/>
          <w:lang w:eastAsia="zh-CN"/>
        </w:rPr>
        <w:t>设立墨脱县公安局</w:t>
      </w:r>
      <w:r>
        <w:rPr>
          <w:rFonts w:hint="eastAsia" w:ascii="仿宋" w:hAnsi="仿宋" w:eastAsia="仿宋"/>
          <w:color w:val="000000"/>
          <w:sz w:val="32"/>
          <w:szCs w:val="30"/>
        </w:rPr>
        <w:t>10个内设机构</w:t>
      </w:r>
      <w:r>
        <w:rPr>
          <w:rFonts w:hint="eastAsia" w:ascii="仿宋" w:hAnsi="仿宋" w:eastAsia="仿宋"/>
          <w:color w:val="000000"/>
          <w:sz w:val="32"/>
          <w:szCs w:val="30"/>
          <w:lang w:eastAsia="zh-CN"/>
        </w:rPr>
        <w:t>，归口县公安局管理。</w:t>
      </w:r>
      <w:r>
        <w:rPr>
          <w:rFonts w:hint="eastAsia" w:ascii="仿宋" w:hAnsi="仿宋" w:eastAsia="仿宋"/>
          <w:color w:val="000000"/>
          <w:sz w:val="32"/>
          <w:szCs w:val="30"/>
        </w:rPr>
        <w:t>即：办公室（110指挥中心、政工人事科）、国内安全保卫大队、刑事侦查大队（经济犯罪侦查大队、禁毒大队）、交通管理大队、治安管理大队（爆炸物品</w:t>
      </w:r>
      <w:r>
        <w:rPr>
          <w:rFonts w:hint="eastAsia" w:ascii="仿宋" w:hAnsi="仿宋" w:eastAsia="仿宋"/>
          <w:color w:val="000000"/>
          <w:sz w:val="32"/>
          <w:szCs w:val="30"/>
          <w:lang w:eastAsia="zh-CN"/>
        </w:rPr>
        <w:t>兼管</w:t>
      </w:r>
      <w:r>
        <w:rPr>
          <w:rFonts w:hint="eastAsia" w:ascii="仿宋" w:hAnsi="仿宋" w:eastAsia="仿宋"/>
          <w:color w:val="000000"/>
          <w:sz w:val="32"/>
          <w:szCs w:val="30"/>
        </w:rPr>
        <w:t>大队、网络安全保卫大队）、看守所（拘留所）、出入境管理大队、特警大队、法制室（警务督察大队）、警务保障室。内设机构均为副科级建制。</w:t>
      </w:r>
    </w:p>
    <w:p>
      <w:pPr>
        <w:keepNext w:val="0"/>
        <w:keepLines w:val="0"/>
        <w:pageBreakBefore w:val="0"/>
        <w:kinsoku/>
        <w:wordWrap/>
        <w:overflowPunct/>
        <w:topLinePunct w:val="0"/>
        <w:autoSpaceDE/>
        <w:bidi w:val="0"/>
        <w:adjustRightInd/>
        <w:snapToGrid/>
        <w:spacing w:after="0" w:line="560" w:lineRule="exact"/>
        <w:ind w:firstLine="640" w:firstLineChars="200"/>
        <w:jc w:val="left"/>
        <w:textAlignment w:val="auto"/>
        <w:rPr>
          <w:rFonts w:hint="eastAsia" w:ascii="楷体" w:hAnsi="楷体" w:eastAsia="楷体"/>
          <w:color w:val="000000"/>
          <w:sz w:val="32"/>
          <w:szCs w:val="30"/>
        </w:rPr>
      </w:pPr>
      <w:r>
        <w:rPr>
          <w:rFonts w:hint="eastAsia" w:ascii="楷体" w:hAnsi="楷体" w:eastAsia="楷体"/>
          <w:color w:val="000000"/>
          <w:sz w:val="32"/>
          <w:szCs w:val="30"/>
          <w:lang w:eastAsia="zh-CN"/>
        </w:rPr>
        <w:t>（二）</w:t>
      </w:r>
      <w:r>
        <w:rPr>
          <w:rFonts w:hint="eastAsia" w:ascii="楷体" w:hAnsi="楷体" w:eastAsia="楷体"/>
          <w:color w:val="000000"/>
          <w:sz w:val="32"/>
          <w:szCs w:val="30"/>
        </w:rPr>
        <w:t>公安派出所</w:t>
      </w:r>
    </w:p>
    <w:p>
      <w:pPr>
        <w:keepNext w:val="0"/>
        <w:keepLines w:val="0"/>
        <w:pageBreakBefore w:val="0"/>
        <w:kinsoku/>
        <w:wordWrap/>
        <w:overflowPunct/>
        <w:topLinePunct w:val="0"/>
        <w:autoSpaceDE/>
        <w:bidi w:val="0"/>
        <w:adjustRightInd/>
        <w:snapToGrid/>
        <w:spacing w:after="0" w:line="560" w:lineRule="exact"/>
        <w:ind w:firstLine="640" w:firstLineChars="200"/>
        <w:jc w:val="left"/>
        <w:textAlignment w:val="auto"/>
        <w:rPr>
          <w:rFonts w:hint="eastAsia" w:ascii="仿宋" w:hAnsi="仿宋" w:eastAsia="仿宋"/>
          <w:color w:val="000000"/>
          <w:sz w:val="32"/>
          <w:szCs w:val="30"/>
        </w:rPr>
      </w:pPr>
      <w:r>
        <w:rPr>
          <w:rFonts w:hint="eastAsia" w:ascii="仿宋" w:hAnsi="仿宋" w:eastAsia="仿宋"/>
          <w:color w:val="000000"/>
          <w:sz w:val="32"/>
          <w:szCs w:val="30"/>
        </w:rPr>
        <w:t>1.机构设置：墨脱县设置</w:t>
      </w:r>
      <w:r>
        <w:rPr>
          <w:rFonts w:hint="eastAsia" w:ascii="仿宋" w:hAnsi="仿宋" w:eastAsia="仿宋"/>
          <w:color w:val="000000"/>
          <w:sz w:val="32"/>
          <w:szCs w:val="30"/>
          <w:lang w:val="en-US" w:eastAsia="zh-CN"/>
        </w:rPr>
        <w:t>4</w:t>
      </w:r>
      <w:r>
        <w:rPr>
          <w:rFonts w:hint="eastAsia" w:ascii="仿宋" w:hAnsi="仿宋" w:eastAsia="仿宋"/>
          <w:color w:val="000000"/>
          <w:sz w:val="32"/>
          <w:szCs w:val="30"/>
        </w:rPr>
        <w:t>个公安派出所，</w:t>
      </w:r>
      <w:r>
        <w:rPr>
          <w:rFonts w:hint="eastAsia" w:ascii="仿宋" w:hAnsi="仿宋" w:eastAsia="仿宋"/>
          <w:color w:val="000000"/>
          <w:sz w:val="32"/>
          <w:szCs w:val="30"/>
          <w:lang w:eastAsia="zh-CN"/>
        </w:rPr>
        <w:t>由</w:t>
      </w:r>
      <w:r>
        <w:rPr>
          <w:rFonts w:hint="eastAsia" w:ascii="仿宋" w:hAnsi="仿宋" w:eastAsia="仿宋"/>
          <w:color w:val="000000"/>
          <w:sz w:val="32"/>
          <w:szCs w:val="30"/>
        </w:rPr>
        <w:t>县公安局统一管理。即：县城派出所、加热萨乡派出所、帮辛乡派出所、甘登乡派出所、均为正科级建制，实行双重管理体制，以县公安局管理为主。</w:t>
      </w:r>
    </w:p>
    <w:p>
      <w:pPr>
        <w:keepNext w:val="0"/>
        <w:keepLines w:val="0"/>
        <w:pageBreakBefore w:val="0"/>
        <w:kinsoku/>
        <w:wordWrap/>
        <w:overflowPunct/>
        <w:topLinePunct w:val="0"/>
        <w:autoSpaceDE/>
        <w:bidi w:val="0"/>
        <w:adjustRightInd/>
        <w:snapToGrid/>
        <w:spacing w:after="0" w:line="560" w:lineRule="exact"/>
        <w:ind w:firstLine="640" w:firstLineChars="200"/>
        <w:jc w:val="left"/>
        <w:textAlignment w:val="auto"/>
        <w:rPr>
          <w:rFonts w:hint="eastAsia" w:ascii="楷体" w:hAnsi="楷体" w:eastAsia="楷体"/>
          <w:color w:val="000000"/>
          <w:sz w:val="32"/>
          <w:szCs w:val="30"/>
        </w:rPr>
      </w:pPr>
      <w:r>
        <w:rPr>
          <w:rFonts w:hint="eastAsia" w:ascii="楷体" w:hAnsi="楷体" w:eastAsia="楷体"/>
          <w:color w:val="000000"/>
          <w:sz w:val="32"/>
          <w:szCs w:val="30"/>
        </w:rPr>
        <w:t>（三）便民警务站</w:t>
      </w:r>
    </w:p>
    <w:p>
      <w:pPr>
        <w:pStyle w:val="2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left"/>
        <w:textAlignment w:val="auto"/>
        <w:rPr>
          <w:rFonts w:hint="eastAsia" w:ascii="楷体" w:hAnsi="楷体" w:eastAsia="仿宋"/>
          <w:color w:val="000000"/>
          <w:sz w:val="32"/>
          <w:szCs w:val="30"/>
          <w:lang w:eastAsia="zh-CN"/>
        </w:rPr>
      </w:pPr>
      <w:r>
        <w:rPr>
          <w:rFonts w:hint="eastAsia" w:ascii="仿宋" w:hAnsi="仿宋" w:eastAsia="仿宋"/>
          <w:color w:val="000000"/>
          <w:sz w:val="32"/>
          <w:szCs w:val="30"/>
        </w:rPr>
        <w:t>1.机构设置：墨脱县设置</w:t>
      </w:r>
      <w:r>
        <w:rPr>
          <w:rFonts w:hint="eastAsia" w:ascii="仿宋" w:hAnsi="仿宋" w:eastAsia="仿宋"/>
          <w:color w:val="000000"/>
          <w:sz w:val="32"/>
          <w:szCs w:val="30"/>
          <w:lang w:val="en-US" w:eastAsia="zh-CN"/>
        </w:rPr>
        <w:t>5</w:t>
      </w:r>
      <w:r>
        <w:rPr>
          <w:rFonts w:hint="eastAsia" w:ascii="仿宋" w:hAnsi="仿宋" w:eastAsia="仿宋"/>
          <w:color w:val="000000"/>
          <w:sz w:val="32"/>
          <w:szCs w:val="30"/>
        </w:rPr>
        <w:t>个便民警务站：县完小便民警务站、亚东村便民警务站、双拥路便民警务站、东部路便民警务站</w:t>
      </w:r>
      <w:r>
        <w:rPr>
          <w:rFonts w:hint="eastAsia" w:ascii="仿宋" w:hAnsi="仿宋" w:eastAsia="仿宋"/>
          <w:color w:val="000000"/>
          <w:sz w:val="32"/>
          <w:szCs w:val="30"/>
          <w:lang w:eastAsia="zh-CN"/>
        </w:rPr>
        <w:t>、嘎隆便民警务站</w:t>
      </w:r>
      <w:r>
        <w:rPr>
          <w:rFonts w:hint="eastAsia" w:ascii="仿宋" w:hAnsi="仿宋" w:eastAsia="仿宋"/>
          <w:color w:val="000000"/>
          <w:sz w:val="32"/>
          <w:szCs w:val="30"/>
        </w:rPr>
        <w:t>。便民警务站均为副科级建制</w:t>
      </w:r>
      <w:r>
        <w:rPr>
          <w:rFonts w:hint="eastAsia" w:ascii="仿宋" w:hAnsi="仿宋" w:eastAsia="仿宋"/>
          <w:color w:val="000000"/>
          <w:sz w:val="32"/>
          <w:szCs w:val="30"/>
          <w:lang w:eastAsia="zh-CN"/>
        </w:rPr>
        <w:t>。</w:t>
      </w:r>
    </w:p>
    <w:p>
      <w:pPr>
        <w:spacing w:line="578" w:lineRule="exact"/>
        <w:jc w:val="center"/>
        <w:rPr>
          <w:rFonts w:hint="eastAsia" w:ascii="黑体" w:hAnsi="ˎ̥" w:eastAsia="黑体"/>
          <w:color w:val="auto"/>
          <w:sz w:val="32"/>
          <w:szCs w:val="32"/>
        </w:rPr>
      </w:pPr>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第</w:t>
      </w:r>
      <w:r>
        <w:rPr>
          <w:rFonts w:hint="eastAsia" w:ascii="黑体" w:hAnsi="ˎ̥" w:eastAsia="黑体"/>
          <w:color w:val="auto"/>
          <w:sz w:val="32"/>
          <w:szCs w:val="32"/>
          <w:lang w:eastAsia="zh-CN"/>
        </w:rPr>
        <w:t>二</w:t>
      </w:r>
      <w:r>
        <w:rPr>
          <w:rFonts w:hint="eastAsia" w:ascii="黑体" w:hAnsi="ˎ̥" w:eastAsia="黑体"/>
          <w:color w:val="auto"/>
          <w:sz w:val="32"/>
          <w:szCs w:val="32"/>
        </w:rPr>
        <w:t>部分</w:t>
      </w:r>
      <w:r>
        <w:rPr>
          <w:rFonts w:hint="eastAsia" w:ascii="黑体" w:hAnsi="ˎ̥" w:eastAsia="黑体"/>
          <w:color w:val="auto"/>
          <w:sz w:val="32"/>
          <w:szCs w:val="32"/>
          <w:lang w:val="en-US" w:eastAsia="zh-CN"/>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bookmarkEnd w:id="25"/>
      <w:bookmarkEnd w:id="26"/>
      <w:bookmarkEnd w:id="27"/>
      <w:bookmarkEnd w:id="28"/>
      <w:bookmarkEnd w:id="29"/>
      <w:bookmarkEnd w:id="30"/>
      <w:bookmarkStart w:id="31" w:name="_Toc25608_WPSOffice_Level2"/>
      <w:bookmarkStart w:id="32" w:name="_Toc23139_WPSOffice_Level2"/>
      <w:bookmarkStart w:id="33" w:name="_Toc26621_WPSOffice_Level2"/>
      <w:bookmarkStart w:id="34" w:name="_Toc28622_WPSOffice_Level2"/>
      <w:bookmarkStart w:id="35" w:name="_Toc30334_WPSOffice_Level2"/>
      <w:bookmarkStart w:id="36" w:name="_Toc14349_WPSOffice_Level2"/>
    </w:p>
    <w:p>
      <w:pPr>
        <w:pStyle w:val="2"/>
        <w:rPr>
          <w:rFonts w:hint="eastAsia"/>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二、收入决算公开表</w:t>
      </w:r>
      <w:bookmarkStart w:id="37" w:name="_Toc14658_WPSOffice_Level2"/>
      <w:bookmarkStart w:id="38" w:name="_Toc3262_WPSOffice_Level2"/>
      <w:bookmarkStart w:id="39" w:name="_Toc17858_WPSOffice_Level2"/>
      <w:bookmarkStart w:id="40" w:name="_Toc17626_WPSOffice_Level2"/>
      <w:bookmarkStart w:id="41" w:name="_Toc5489_WPSOffice_Level2"/>
      <w:bookmarkStart w:id="42" w:name="_Toc13854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493_WPSOffice_Level2"/>
      <w:bookmarkStart w:id="44" w:name="_Toc7988_WPSOffice_Level2"/>
      <w:bookmarkStart w:id="45" w:name="_Toc4265_WPSOffice_Level2"/>
      <w:bookmarkStart w:id="46" w:name="_Toc13701_WPSOffice_Level2"/>
      <w:bookmarkStart w:id="47" w:name="_Toc23591_WPSOffice_Level2"/>
      <w:bookmarkStart w:id="48" w:name="_Toc21415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sz w:val="32"/>
          <w:szCs w:val="32"/>
        </w:rPr>
      </w:pPr>
      <w:bookmarkStart w:id="122" w:name="_GoBack"/>
      <w:bookmarkStart w:id="49" w:name="_Toc22783_WPSOffice_Level2"/>
      <w:bookmarkStart w:id="50" w:name="_Toc25166_WPSOffice_Level2"/>
      <w:bookmarkStart w:id="51" w:name="_Toc7879_WPSOffice_Level2"/>
      <w:bookmarkStart w:id="52" w:name="_Toc2382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25362_WPSOffice_Level2"/>
      <w:bookmarkStart w:id="57" w:name="_Toc17283_WPSOffice_Level2"/>
      <w:bookmarkStart w:id="58" w:name="_Toc2632_WPSOffice_Level2"/>
      <w:bookmarkStart w:id="59" w:name="_Toc17833_WPSOffice_Level2"/>
      <w:bookmarkStart w:id="60" w:name="_Toc5343_WPSOffice_Level2"/>
    </w:p>
    <w:bookmarkEnd w:id="122"/>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1" w:name="_Toc5594_WPSOffice_Level2"/>
      <w:bookmarkStart w:id="62" w:name="_Toc13345_WPSOffice_Level2"/>
      <w:bookmarkStart w:id="63" w:name="_Toc6020_WPSOffice_Level2"/>
      <w:bookmarkStart w:id="64" w:name="_Toc11799_WPSOffice_Level2"/>
      <w:bookmarkStart w:id="65" w:name="_Toc1533_WPSOffice_Level2"/>
      <w:bookmarkStart w:id="66" w:name="_Toc2131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7" w:name="_Toc29886_WPSOffice_Level2"/>
      <w:bookmarkStart w:id="68" w:name="_Toc1820_WPSOffice_Level2"/>
      <w:bookmarkStart w:id="69" w:name="_Toc19961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bookmarkEnd w:id="31"/>
    <w:bookmarkEnd w:id="32"/>
    <w:bookmarkEnd w:id="33"/>
    <w:bookmarkEnd w:id="34"/>
    <w:bookmarkEnd w:id="35"/>
    <w:bookmarkEnd w:id="36"/>
    <w:p>
      <w:pPr>
        <w:spacing w:line="578" w:lineRule="exact"/>
        <w:jc w:val="center"/>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以上报表见附件1。</w:t>
      </w:r>
    </w:p>
    <w:p>
      <w:pPr>
        <w:pStyle w:val="14"/>
        <w:jc w:val="center"/>
        <w:rPr>
          <w:rFonts w:hint="eastAsia" w:ascii="仿宋" w:hAnsi="仿宋" w:eastAsia="仿宋" w:cs="仿宋"/>
          <w:color w:val="auto"/>
          <w:w w:val="100"/>
          <w:sz w:val="32"/>
          <w:szCs w:val="32"/>
        </w:rPr>
      </w:pPr>
    </w:p>
    <w:p>
      <w:pPr>
        <w:spacing w:line="578" w:lineRule="exact"/>
        <w:ind w:firstLine="1280" w:firstLineChars="400"/>
        <w:jc w:val="both"/>
        <w:rPr>
          <w:rFonts w:hint="eastAsia" w:ascii="黑体" w:hAnsi="ˎ̥" w:eastAsia="黑体"/>
          <w:color w:val="auto"/>
          <w:sz w:val="32"/>
          <w:szCs w:val="32"/>
        </w:rPr>
      </w:pPr>
      <w:bookmarkStart w:id="71" w:name="_Toc27590_WPSOffice_Level1"/>
      <w:bookmarkStart w:id="72" w:name="_Toc31264_WPSOffice_Level1"/>
      <w:bookmarkStart w:id="73" w:name="_Toc29683_WPSOffice_Level1"/>
      <w:bookmarkStart w:id="74" w:name="_Toc16686_WPSOffice_Level1"/>
      <w:bookmarkStart w:id="75" w:name="_Toc28629_WPSOffice_Level1"/>
      <w:bookmarkStart w:id="76" w:name="_Toc4402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napToGrid w:val="0"/>
        <w:spacing w:line="360" w:lineRule="auto"/>
        <w:ind w:firstLine="420" w:firstLineChars="200"/>
        <w:outlineLvl w:val="0"/>
        <w:rPr>
          <w:rFonts w:hint="eastAsia"/>
        </w:rPr>
      </w:pPr>
    </w:p>
    <w:p>
      <w:pPr>
        <w:snapToGrid w:val="0"/>
        <w:spacing w:line="360" w:lineRule="auto"/>
        <w:ind w:left="958" w:leftChars="304" w:hanging="320" w:hangingChars="100"/>
        <w:outlineLvl w:val="0"/>
        <w:rPr>
          <w:rFonts w:hint="eastAsia" w:ascii="黑体" w:hAnsi="黑体" w:eastAsia="黑体" w:cs="黑体"/>
          <w:bCs/>
          <w:color w:val="auto"/>
          <w:sz w:val="32"/>
          <w:szCs w:val="32"/>
          <w:lang w:eastAsia="zh-CN"/>
        </w:rPr>
      </w:pPr>
      <w:r>
        <w:rPr>
          <w:rFonts w:hint="eastAsia" w:ascii="黑体" w:hAnsi="黑体" w:eastAsia="黑体" w:cs="黑体"/>
          <w:bCs/>
          <w:color w:val="auto"/>
          <w:sz w:val="32"/>
          <w:szCs w:val="32"/>
        </w:rPr>
        <w:t>一、收入支出总体情况</w:t>
      </w:r>
      <w:r>
        <w:rPr>
          <w:rFonts w:hint="eastAsia" w:ascii="黑体" w:hAnsi="黑体" w:eastAsia="黑体" w:cs="黑体"/>
          <w:bCs/>
          <w:color w:val="auto"/>
          <w:sz w:val="32"/>
          <w:szCs w:val="32"/>
          <w:lang w:eastAsia="zh-CN"/>
        </w:rPr>
        <w:t>说明</w:t>
      </w:r>
    </w:p>
    <w:p>
      <w:pPr>
        <w:snapToGrid w:val="0"/>
        <w:spacing w:line="360" w:lineRule="auto"/>
        <w:ind w:firstLine="640" w:firstLineChars="200"/>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年初预算收入7378.88万元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支</w:t>
      </w:r>
      <w:r>
        <w:rPr>
          <w:rFonts w:hint="eastAsia" w:ascii="仿宋_GB2312" w:hAnsi="仿宋_GB2312" w:eastAsia="仿宋_GB2312" w:cs="仿宋_GB2312"/>
          <w:i w:val="0"/>
          <w:iCs w:val="0"/>
          <w:caps w:val="0"/>
          <w:color w:val="auto"/>
          <w:spacing w:val="0"/>
          <w:sz w:val="32"/>
          <w:szCs w:val="32"/>
          <w:shd w:val="clear" w:fill="FFFFFF"/>
          <w:lang w:val="en-US" w:eastAsia="zh-CN"/>
        </w:rPr>
        <w:t>出7378.88万元，</w:t>
      </w:r>
      <w:r>
        <w:rPr>
          <w:rFonts w:hint="eastAsia" w:ascii="仿宋_GB2312" w:hAnsi="仿宋_GB2312" w:eastAsia="仿宋_GB2312" w:cs="仿宋_GB2312"/>
          <w:i w:val="0"/>
          <w:iCs w:val="0"/>
          <w:caps w:val="0"/>
          <w:color w:val="auto"/>
          <w:spacing w:val="0"/>
          <w:sz w:val="32"/>
          <w:szCs w:val="32"/>
          <w:shd w:val="clear" w:fill="FFFFFF"/>
        </w:rPr>
        <w:t>与</w:t>
      </w:r>
      <w:r>
        <w:rPr>
          <w:rFonts w:hint="eastAsia" w:ascii="仿宋_GB2312" w:hAnsi="仿宋_GB2312" w:eastAsia="仿宋_GB2312" w:cs="仿宋_GB2312"/>
          <w:i w:val="0"/>
          <w:iCs w:val="0"/>
          <w:caps w:val="0"/>
          <w:color w:val="auto"/>
          <w:spacing w:val="0"/>
          <w:sz w:val="32"/>
          <w:szCs w:val="32"/>
          <w:shd w:val="clear" w:fill="FFFFFF"/>
          <w:lang w:val="en-US" w:eastAsia="zh-CN"/>
        </w:rPr>
        <w:t>2023</w:t>
      </w:r>
      <w:r>
        <w:rPr>
          <w:rFonts w:hint="eastAsia" w:ascii="仿宋_GB2312" w:hAnsi="仿宋_GB2312" w:eastAsia="仿宋_GB2312" w:cs="仿宋_GB2312"/>
          <w:i w:val="0"/>
          <w:iCs w:val="0"/>
          <w:caps w:val="0"/>
          <w:color w:val="auto"/>
          <w:spacing w:val="0"/>
          <w:sz w:val="32"/>
          <w:szCs w:val="32"/>
          <w:shd w:val="clear" w:fill="FFFFFF"/>
        </w:rPr>
        <w:t>年相比，收</w:t>
      </w:r>
      <w:r>
        <w:rPr>
          <w:rFonts w:hint="eastAsia" w:ascii="仿宋_GB2312" w:hAnsi="仿宋_GB2312" w:eastAsia="仿宋_GB2312" w:cs="仿宋_GB2312"/>
          <w:i w:val="0"/>
          <w:iCs w:val="0"/>
          <w:caps w:val="0"/>
          <w:color w:val="auto"/>
          <w:spacing w:val="0"/>
          <w:sz w:val="32"/>
          <w:szCs w:val="32"/>
          <w:shd w:val="clear" w:fill="FFFFFF"/>
          <w:lang w:val="en-US" w:eastAsia="zh-CN"/>
        </w:rPr>
        <w:t>支总计分别增加825.9万元、825.9万元，增长12.6%</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较上年增加主要原因是专项经费增加。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snapToGrid w:val="0"/>
        <w:spacing w:line="360" w:lineRule="auto"/>
        <w:ind w:firstLine="640" w:firstLineChars="200"/>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2024年度收入7378.88万元，其中：财政拨款收入7174.92万元，占97%;使用非财政拨款结余</w:t>
      </w:r>
      <w:r>
        <w:rPr>
          <w:rFonts w:hint="default" w:ascii="仿宋_GB2312" w:hAnsi="仿宋_GB2312" w:eastAsia="仿宋_GB2312" w:cs="仿宋_GB2312"/>
          <w:i w:val="0"/>
          <w:iCs w:val="0"/>
          <w:caps w:val="0"/>
          <w:color w:val="auto"/>
          <w:spacing w:val="0"/>
          <w:sz w:val="32"/>
          <w:szCs w:val="32"/>
          <w:shd w:val="clear" w:fill="FFFFFF"/>
          <w:lang w:val="en-US" w:eastAsia="zh-CN"/>
        </w:rPr>
        <w:t>0.00</w:t>
      </w:r>
      <w:r>
        <w:rPr>
          <w:rFonts w:hint="eastAsia" w:ascii="仿宋_GB2312" w:hAnsi="仿宋_GB2312" w:eastAsia="仿宋_GB2312" w:cs="仿宋_GB2312"/>
          <w:i w:val="0"/>
          <w:iCs w:val="0"/>
          <w:caps w:val="0"/>
          <w:color w:val="auto"/>
          <w:spacing w:val="0"/>
          <w:sz w:val="32"/>
          <w:szCs w:val="32"/>
          <w:shd w:val="clear" w:fill="FFFFFF"/>
          <w:lang w:val="en-US" w:eastAsia="zh-CN"/>
        </w:rPr>
        <w:t>万元，年初结转结余203.96万元,占3%。</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both"/>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2024年度支出7378.88万元，其中：基本支出4598.61万元，占62.32%；项目支出2780.26万元，占37.68%。</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both"/>
        <w:rPr>
          <w:rFonts w:hint="eastAsia" w:ascii="仿宋_GB2312" w:hAnsi="ˎ̥" w:eastAsia="仿宋_GB2312"/>
          <w:color w:val="auto"/>
          <w:sz w:val="32"/>
          <w:szCs w:val="32"/>
          <w:lang w:val="en-US" w:eastAsia="zh-CN"/>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w:t>
      </w:r>
      <w:r>
        <w:rPr>
          <w:rFonts w:hint="eastAsia" w:ascii="仿宋_GB2312" w:hAnsi="ˎ̥" w:eastAsia="仿宋_GB2312"/>
          <w:color w:val="auto"/>
          <w:sz w:val="32"/>
          <w:szCs w:val="32"/>
          <w:lang w:val="en-US" w:eastAsia="zh-CN"/>
        </w:rPr>
        <w:t xml:space="preserve"> 2024年度收入7378.88万元，其中：财政拨款收入7174.92万元，占97%;使用非财政拨款结余</w:t>
      </w:r>
      <w:r>
        <w:rPr>
          <w:rFonts w:hint="default" w:ascii="仿宋_GB2312" w:hAnsi="ˎ̥" w:eastAsia="仿宋_GB2312"/>
          <w:color w:val="auto"/>
          <w:sz w:val="32"/>
          <w:szCs w:val="32"/>
          <w:lang w:val="en-US" w:eastAsia="zh-CN"/>
        </w:rPr>
        <w:t>0.00</w:t>
      </w:r>
      <w:r>
        <w:rPr>
          <w:rFonts w:hint="eastAsia" w:ascii="仿宋_GB2312" w:hAnsi="ˎ̥" w:eastAsia="仿宋_GB2312"/>
          <w:color w:val="auto"/>
          <w:sz w:val="32"/>
          <w:szCs w:val="32"/>
          <w:lang w:val="en-US" w:eastAsia="zh-CN"/>
        </w:rPr>
        <w:t>万元，年初结转结余203.96万元,占3%。</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both"/>
        <w:rPr>
          <w:rFonts w:hint="eastAsia" w:ascii="黑体" w:hAnsi="黑体" w:eastAsia="黑体" w:cs="黑体"/>
          <w:b w:val="0"/>
          <w:bCs w:val="0"/>
          <w:i w:val="0"/>
          <w:iCs w:val="0"/>
          <w:caps w:val="0"/>
          <w:color w:val="4F81BD" w:themeColor="accent1"/>
          <w:spacing w:val="0"/>
          <w:sz w:val="32"/>
          <w:szCs w:val="32"/>
          <w:shd w:val="clear" w:fill="FFFFFF"/>
          <w:lang w:val="en-US" w:eastAsia="zh-CN"/>
          <w14:textFill>
            <w14:solidFill>
              <w14:schemeClr w14:val="accent1"/>
            </w14:solidFill>
          </w14:textFill>
        </w:rPr>
      </w:pP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2024年度支出7378.88万元，其中：基本支出4598.61万元，占</w:t>
      </w:r>
      <w:r>
        <w:rPr>
          <w:rFonts w:hint="eastAsia" w:ascii="仿宋_GB2312" w:hAnsi="ˎ̥" w:eastAsia="仿宋_GB2312"/>
          <w:color w:val="auto"/>
          <w:sz w:val="32"/>
          <w:szCs w:val="32"/>
          <w:lang w:val="en-US" w:eastAsia="zh-CN"/>
        </w:rPr>
        <w:t>62.32%；项目支出2780.26万元，占37.68%。</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snapToGrid w:val="0"/>
        <w:spacing w:line="360" w:lineRule="auto"/>
        <w:ind w:firstLine="640" w:firstLineChars="200"/>
        <w:outlineLvl w:val="0"/>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4</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年初预算收入7378.88万元</w:t>
      </w:r>
      <w:r>
        <w:rPr>
          <w:rFonts w:hint="eastAsia" w:ascii="仿宋_GB2312" w:hAnsi="仿宋_GB2312" w:eastAsia="仿宋_GB2312" w:cs="仿宋_GB2312"/>
          <w:i w:val="0"/>
          <w:iCs w:val="0"/>
          <w:caps w:val="0"/>
          <w:color w:val="auto"/>
          <w:spacing w:val="0"/>
          <w:sz w:val="32"/>
          <w:szCs w:val="32"/>
          <w:shd w:val="clear" w:fill="FFFFFF"/>
          <w:lang w:eastAsia="zh-CN"/>
        </w:rPr>
        <w:t>、年度结算资金</w:t>
      </w:r>
      <w:r>
        <w:rPr>
          <w:rFonts w:hint="eastAsia" w:ascii="仿宋_GB2312" w:hAnsi="仿宋_GB2312" w:eastAsia="仿宋_GB2312" w:cs="仿宋_GB2312"/>
          <w:i w:val="0"/>
          <w:iCs w:val="0"/>
          <w:caps w:val="0"/>
          <w:color w:val="auto"/>
          <w:spacing w:val="0"/>
          <w:sz w:val="32"/>
          <w:szCs w:val="32"/>
          <w:shd w:val="clear" w:fill="FFFFFF"/>
          <w:lang w:val="en-US" w:eastAsia="zh-CN"/>
        </w:rPr>
        <w:t>203.96万元，</w:t>
      </w:r>
      <w:r>
        <w:rPr>
          <w:rFonts w:hint="eastAsia" w:ascii="仿宋_GB2312" w:hAnsi="仿宋_GB2312" w:eastAsia="仿宋_GB2312" w:cs="仿宋_GB2312"/>
          <w:i w:val="0"/>
          <w:iCs w:val="0"/>
          <w:caps w:val="0"/>
          <w:color w:val="auto"/>
          <w:spacing w:val="0"/>
          <w:sz w:val="32"/>
          <w:szCs w:val="32"/>
          <w:shd w:val="clear" w:fill="FFFFFF"/>
        </w:rPr>
        <w:t>支</w:t>
      </w:r>
      <w:r>
        <w:rPr>
          <w:rFonts w:hint="eastAsia" w:ascii="仿宋_GB2312" w:hAnsi="仿宋_GB2312" w:eastAsia="仿宋_GB2312" w:cs="仿宋_GB2312"/>
          <w:i w:val="0"/>
          <w:iCs w:val="0"/>
          <w:caps w:val="0"/>
          <w:color w:val="auto"/>
          <w:spacing w:val="0"/>
          <w:sz w:val="32"/>
          <w:szCs w:val="32"/>
          <w:shd w:val="clear" w:fill="FFFFFF"/>
          <w:lang w:val="en-US" w:eastAsia="zh-CN"/>
        </w:rPr>
        <w:t>出7378.88万元，</w:t>
      </w:r>
      <w:r>
        <w:rPr>
          <w:rFonts w:hint="eastAsia" w:ascii="仿宋_GB2312" w:hAnsi="仿宋_GB2312" w:eastAsia="仿宋_GB2312" w:cs="仿宋_GB2312"/>
          <w:i w:val="0"/>
          <w:iCs w:val="0"/>
          <w:caps w:val="0"/>
          <w:color w:val="auto"/>
          <w:spacing w:val="0"/>
          <w:sz w:val="32"/>
          <w:szCs w:val="32"/>
          <w:shd w:val="clear" w:fill="FFFFFF"/>
        </w:rPr>
        <w:t>与</w:t>
      </w:r>
      <w:r>
        <w:rPr>
          <w:rFonts w:hint="eastAsia" w:ascii="仿宋_GB2312" w:hAnsi="仿宋_GB2312" w:eastAsia="仿宋_GB2312" w:cs="仿宋_GB2312"/>
          <w:i w:val="0"/>
          <w:iCs w:val="0"/>
          <w:caps w:val="0"/>
          <w:color w:val="auto"/>
          <w:spacing w:val="0"/>
          <w:sz w:val="32"/>
          <w:szCs w:val="32"/>
          <w:shd w:val="clear" w:fill="FFFFFF"/>
          <w:lang w:val="en-US" w:eastAsia="zh-CN"/>
        </w:rPr>
        <w:t>2023</w:t>
      </w:r>
      <w:r>
        <w:rPr>
          <w:rFonts w:hint="eastAsia" w:ascii="仿宋_GB2312" w:hAnsi="仿宋_GB2312" w:eastAsia="仿宋_GB2312" w:cs="仿宋_GB2312"/>
          <w:i w:val="0"/>
          <w:iCs w:val="0"/>
          <w:caps w:val="0"/>
          <w:color w:val="auto"/>
          <w:spacing w:val="0"/>
          <w:sz w:val="32"/>
          <w:szCs w:val="32"/>
          <w:shd w:val="clear" w:fill="FFFFFF"/>
        </w:rPr>
        <w:t>年相比，收</w:t>
      </w:r>
      <w:r>
        <w:rPr>
          <w:rFonts w:hint="eastAsia" w:ascii="仿宋_GB2312" w:hAnsi="仿宋_GB2312" w:eastAsia="仿宋_GB2312" w:cs="仿宋_GB2312"/>
          <w:i w:val="0"/>
          <w:iCs w:val="0"/>
          <w:caps w:val="0"/>
          <w:color w:val="auto"/>
          <w:spacing w:val="0"/>
          <w:sz w:val="32"/>
          <w:szCs w:val="32"/>
          <w:shd w:val="clear" w:fill="FFFFFF"/>
          <w:lang w:val="en-US" w:eastAsia="zh-CN"/>
        </w:rPr>
        <w:t>支总计分别增加825.9万元、825.9万元，增长12.6%</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shd w:val="clear" w:fill="FFFFFF"/>
          <w:lang w:val="en-US" w:eastAsia="zh-CN"/>
        </w:rPr>
        <w:t>较上年增加主要原因是专项经费增加。</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9989_WPSOffice_Level2"/>
      <w:bookmarkStart w:id="78" w:name="_Toc17398_WPSOffice_Level2"/>
      <w:bookmarkStart w:id="79" w:name="_Toc19665_WPSOffice_Level2"/>
      <w:bookmarkStart w:id="80" w:name="_Toc13694_WPSOffice_Level2"/>
      <w:bookmarkStart w:id="81" w:name="_Toc21737_WPSOffice_Level2"/>
      <w:bookmarkStart w:id="82" w:name="_Toc23005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rightChars="0" w:firstLine="320" w:firstLineChars="100"/>
        <w:jc w:val="both"/>
        <w:rPr>
          <w:rFonts w:hint="eastAsia" w:ascii="仿宋_GB2312" w:hAnsi="仿宋" w:eastAsia="仿宋_GB2312"/>
          <w:sz w:val="32"/>
          <w:szCs w:val="32"/>
          <w:highlight w:val="none"/>
        </w:rPr>
      </w:pPr>
      <w:bookmarkStart w:id="83" w:name="_Toc18793_WPSOffice_Level2"/>
      <w:bookmarkStart w:id="84" w:name="_Toc27767_WPSOffice_Level2"/>
      <w:bookmarkStart w:id="85" w:name="_Toc23864_WPSOffice_Level2"/>
      <w:bookmarkStart w:id="86" w:name="_Toc2711_WPSOffice_Level2"/>
      <w:bookmarkStart w:id="87" w:name="_Toc19075_WPSOffice_Level2"/>
      <w:bookmarkStart w:id="88" w:name="_Toc19535_WPSOffice_Level2"/>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2024年度全年决算收入、支出均为7378.88万元，2024年度预算、决算无差异。</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楷体" w:hAnsi="楷体" w:eastAsia="楷体" w:cs="楷体"/>
          <w:color w:val="auto"/>
          <w:sz w:val="32"/>
          <w:szCs w:val="32"/>
        </w:rPr>
        <w:t>一般公共预算财政拨款支出决算结构情况</w:t>
      </w:r>
      <w:bookmarkEnd w:id="83"/>
      <w:bookmarkEnd w:id="84"/>
      <w:bookmarkEnd w:id="85"/>
      <w:bookmarkEnd w:id="86"/>
      <w:bookmarkEnd w:id="87"/>
      <w:bookmarkEnd w:id="88"/>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both"/>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2024年度财政拨款支出7378.88万元，主要用于以下方面：公共安全服务支出6109.63万元，占83%；社会保障和就业支出525.88万元，占7%；卫生健康支出283.44万元，占3.8%；住房保障支出459.93万元，占6.2%。</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21701_WPSOffice_Level2"/>
      <w:bookmarkStart w:id="90" w:name="_Toc9502_WPSOffice_Level2"/>
      <w:bookmarkStart w:id="91" w:name="_Toc22318_WPSOffice_Level2"/>
      <w:bookmarkStart w:id="92" w:name="_Toc29364_WPSOffice_Level2"/>
      <w:bookmarkStart w:id="93" w:name="_Toc25136_WPSOffice_Level2"/>
      <w:bookmarkStart w:id="94" w:name="_Toc15415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7378.88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7378.88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4523.2</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4152.56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370.64</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numPr>
          <w:ilvl w:val="0"/>
          <w:numId w:val="3"/>
        </w:numPr>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政府性基金预算财政拨款支出决算情况说明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我单位无政府性基金预算。</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eastAsia" w:ascii="仿宋_GB2312" w:hAnsi="ˎ̥" w:eastAsia="仿宋_GB2312"/>
          <w:color w:val="auto"/>
          <w:sz w:val="32"/>
          <w:szCs w:val="32"/>
          <w:lang w:val="en-US" w:eastAsia="zh-CN"/>
        </w:rPr>
        <w:t>64.98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64.98</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13.02</w:t>
      </w:r>
      <w:r>
        <w:rPr>
          <w:rFonts w:hint="eastAsia" w:ascii="仿宋_GB2312" w:hAnsi="ˎ̥" w:eastAsia="仿宋_GB2312"/>
          <w:color w:val="auto"/>
          <w:sz w:val="32"/>
          <w:szCs w:val="32"/>
        </w:rPr>
        <w:t>万元</w:t>
      </w:r>
      <w:r>
        <w:rPr>
          <w:rFonts w:ascii="仿宋_GB2312" w:hAnsi="ˎ̥" w:eastAsia="仿宋_GB2312"/>
          <w:color w:val="auto"/>
          <w:sz w:val="32"/>
          <w:szCs w:val="32"/>
        </w:rPr>
        <w:t>，原因是</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2024年度对单位公车运行维护费无大型维修产生维修费较少。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（二）财政拨款“三公”经费支出决算具体情况说明</w:t>
      </w:r>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eastAsia" w:ascii="仿宋_GB2312" w:hAnsi="ˎ̥" w:eastAsia="仿宋_GB2312"/>
          <w:color w:val="auto"/>
          <w:sz w:val="32"/>
          <w:szCs w:val="32"/>
          <w:lang w:val="en-US" w:eastAsia="zh-CN"/>
        </w:rPr>
        <w:t>64.98</w:t>
      </w:r>
      <w:r>
        <w:rPr>
          <w:rFonts w:hint="eastAsia" w:ascii="仿宋_GB2312" w:hAnsi="ˎ̥" w:eastAsia="仿宋_GB2312"/>
          <w:color w:val="auto"/>
          <w:sz w:val="32"/>
          <w:szCs w:val="32"/>
        </w:rPr>
        <w:t>万元；公务接待费支出决算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28</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2780.27</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rPr>
          <w:rFonts w:hint="eastAsia" w:ascii="仿宋_GB2312" w:hAnsi="ˎ̥" w:eastAsia="仿宋_GB2312"/>
          <w:color w:val="auto"/>
          <w:sz w:val="32"/>
          <w:szCs w:val="32"/>
          <w:lang w:val="en-US" w:eastAsia="zh-CN"/>
        </w:rPr>
        <w:sectPr>
          <w:footerReference r:id="rId3" w:type="default"/>
          <w:pgSz w:w="11906" w:h="16838"/>
          <w:pgMar w:top="2098" w:right="1474" w:bottom="1984" w:left="1587" w:header="851" w:footer="992" w:gutter="0"/>
          <w:cols w:space="720" w:num="1"/>
          <w:docGrid w:type="lines" w:linePitch="312" w:charSpace="0"/>
        </w:sectPr>
      </w:pPr>
    </w:p>
    <w:p>
      <w:pPr>
        <w:spacing w:line="240" w:lineRule="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drawing>
          <wp:inline distT="0" distB="0" distL="114300" distR="114300">
            <wp:extent cx="6113145" cy="7557135"/>
            <wp:effectExtent l="0" t="0" r="1905" b="5715"/>
            <wp:docPr id="1" name="图片 1" descr="附件2执法办案管理中心附件改扩建绩效自评表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附件2执法办案管理中心附件改扩建绩效自评表 (1)"/>
                    <pic:cNvPicPr>
                      <a:picLocks noChangeAspect="true"/>
                    </pic:cNvPicPr>
                  </pic:nvPicPr>
                  <pic:blipFill>
                    <a:blip r:embed="rId5"/>
                    <a:stretch>
                      <a:fillRect/>
                    </a:stretch>
                  </pic:blipFill>
                  <pic:spPr>
                    <a:xfrm>
                      <a:off x="0" y="0"/>
                      <a:ext cx="6113145" cy="755713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sectPr>
          <w:pgSz w:w="11906" w:h="16838"/>
          <w:pgMar w:top="2098" w:right="1474" w:bottom="1984" w:left="158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95" w:name="_Toc27924"/>
      <w:bookmarkStart w:id="96" w:name="_Toc18325_WPSOffice_Level2"/>
      <w:bookmarkStart w:id="97" w:name="_Toc32639_WPSOffice_Level2"/>
      <w:bookmarkStart w:id="98" w:name="_Toc23598_WPSOffice_Level2"/>
      <w:bookmarkStart w:id="99" w:name="_Toc15262_WPSOffice_Level2"/>
      <w:bookmarkStart w:id="100" w:name="_Toc5978_WPSOffice_Level2"/>
      <w:bookmarkStart w:id="101" w:name="_Toc15565_WPSOffice_Level2"/>
      <w:bookmarkStart w:id="102" w:name="_Toc8808_WPSOffice_Level1"/>
      <w:bookmarkStart w:id="103" w:name="_Toc11039_WPSOffice_Level1"/>
      <w:bookmarkStart w:id="104" w:name="_Toc17580_WPSOffice_Level1"/>
      <w:bookmarkStart w:id="105" w:name="_Toc8874_WPSOffice_Level1"/>
      <w:bookmarkStart w:id="106" w:name="_Toc4398_WPSOffice_Level1"/>
      <w:bookmarkStart w:id="107" w:name="_Toc15425_WPSOffice_Level1"/>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bookmarkEnd w:id="101"/>
    </w:p>
    <w:p>
      <w:pPr>
        <w:ind w:firstLine="640" w:firstLineChars="200"/>
        <w:rPr>
          <w:rFonts w:hint="eastAsia" w:ascii="仿宋" w:hAnsi="仿宋" w:eastAsia="仿宋"/>
          <w:color w:val="auto"/>
          <w:sz w:val="32"/>
          <w:szCs w:val="32"/>
          <w:highlight w:val="cyan"/>
          <w:lang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449.87</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 w:hAnsi="仿宋" w:eastAsia="仿宋"/>
          <w:color w:val="auto"/>
          <w:sz w:val="32"/>
          <w:szCs w:val="32"/>
        </w:rPr>
        <w:t>比</w:t>
      </w:r>
      <w:r>
        <w:rPr>
          <w:rFonts w:hint="eastAsia" w:ascii="仿宋" w:hAnsi="仿宋" w:eastAsia="仿宋"/>
          <w:color w:val="auto"/>
          <w:sz w:val="32"/>
          <w:szCs w:val="32"/>
          <w:lang w:val="en-US" w:eastAsia="zh-CN"/>
        </w:rPr>
        <w:t>2023</w:t>
      </w:r>
      <w:r>
        <w:rPr>
          <w:rFonts w:hint="eastAsia" w:ascii="仿宋" w:hAnsi="仿宋" w:eastAsia="仿宋"/>
          <w:color w:val="auto"/>
          <w:sz w:val="32"/>
          <w:szCs w:val="32"/>
        </w:rPr>
        <w:t>年</w:t>
      </w:r>
      <w:r>
        <w:rPr>
          <w:rFonts w:hint="eastAsia" w:ascii="仿宋" w:hAnsi="仿宋" w:eastAsia="仿宋"/>
          <w:color w:val="auto"/>
          <w:sz w:val="32"/>
          <w:szCs w:val="32"/>
          <w:lang w:eastAsia="zh-CN"/>
        </w:rPr>
        <w:t>减少</w:t>
      </w:r>
      <w:r>
        <w:rPr>
          <w:rFonts w:hint="eastAsia" w:ascii="仿宋" w:hAnsi="仿宋" w:eastAsia="仿宋"/>
          <w:color w:val="auto"/>
          <w:sz w:val="32"/>
          <w:szCs w:val="32"/>
          <w:lang w:val="en-US" w:eastAsia="zh-CN"/>
        </w:rPr>
        <w:t>1.28</w:t>
      </w:r>
      <w:r>
        <w:rPr>
          <w:rFonts w:hint="eastAsia" w:ascii="仿宋" w:hAnsi="仿宋" w:eastAsia="仿宋"/>
          <w:color w:val="auto"/>
          <w:sz w:val="32"/>
          <w:szCs w:val="32"/>
        </w:rPr>
        <w:t>万元，</w:t>
      </w:r>
      <w:r>
        <w:rPr>
          <w:rFonts w:hint="eastAsia" w:ascii="仿宋" w:hAnsi="仿宋" w:eastAsia="仿宋"/>
          <w:color w:val="auto"/>
          <w:sz w:val="32"/>
          <w:szCs w:val="32"/>
          <w:lang w:eastAsia="zh-CN"/>
        </w:rPr>
        <w:t>主要原因是人员调动减少，相关的运行经费减少等。</w:t>
      </w:r>
    </w:p>
    <w:p>
      <w:pPr>
        <w:spacing w:line="578" w:lineRule="exact"/>
        <w:ind w:firstLine="640" w:firstLineChars="200"/>
        <w:outlineLvl w:val="1"/>
        <w:rPr>
          <w:rFonts w:hint="eastAsia" w:ascii="楷体" w:hAnsi="楷体" w:eastAsia="楷体" w:cs="楷体"/>
          <w:bCs/>
          <w:color w:val="auto"/>
          <w:sz w:val="32"/>
          <w:szCs w:val="32"/>
        </w:rPr>
      </w:pPr>
      <w:bookmarkStart w:id="108" w:name="_Toc30383_WPSOffice_Level2"/>
      <w:bookmarkStart w:id="109" w:name="_Toc26632"/>
      <w:bookmarkStart w:id="110" w:name="_Toc32689_WPSOffice_Level2"/>
      <w:bookmarkStart w:id="111" w:name="_Toc13084_WPSOffice_Level2"/>
      <w:bookmarkStart w:id="112" w:name="_Toc3131_WPSOffice_Level2"/>
      <w:bookmarkStart w:id="113" w:name="_Toc25333_WPSOffice_Level2"/>
      <w:bookmarkStart w:id="114" w:name="_Toc23966_WPSOffice_Level2"/>
      <w:r>
        <w:rPr>
          <w:rFonts w:hint="eastAsia" w:ascii="楷体" w:hAnsi="楷体" w:eastAsia="楷体" w:cs="楷体"/>
          <w:bCs/>
          <w:color w:val="auto"/>
          <w:sz w:val="32"/>
          <w:szCs w:val="32"/>
        </w:rPr>
        <w:t>（二）政府采购支出情况。</w:t>
      </w:r>
      <w:bookmarkEnd w:id="108"/>
      <w:bookmarkEnd w:id="109"/>
      <w:bookmarkEnd w:id="110"/>
      <w:bookmarkEnd w:id="111"/>
      <w:bookmarkEnd w:id="112"/>
      <w:bookmarkEnd w:id="113"/>
      <w:bookmarkEnd w:id="114"/>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115" w:name="_Toc19989_WPSOffice_Level2"/>
      <w:bookmarkStart w:id="116" w:name="_Toc527_WPSOffice_Level2"/>
      <w:bookmarkStart w:id="117" w:name="_Toc15129_WPSOffice_Level2"/>
      <w:bookmarkStart w:id="118" w:name="_Toc6016_WPSOffice_Level2"/>
      <w:bookmarkStart w:id="119" w:name="_Toc29584_WPSOffice_Level2"/>
      <w:bookmarkStart w:id="120" w:name="_Toc23489"/>
      <w:bookmarkStart w:id="121" w:name="_Toc10902_WPSOffice_Level2"/>
      <w:r>
        <w:rPr>
          <w:rFonts w:hint="eastAsia" w:ascii="楷体" w:hAnsi="楷体" w:eastAsia="楷体" w:cs="楷体"/>
          <w:bCs/>
          <w:color w:val="auto"/>
          <w:sz w:val="32"/>
          <w:szCs w:val="32"/>
        </w:rPr>
        <w:t>（三）国有资产占用情况。</w:t>
      </w:r>
      <w:bookmarkEnd w:id="115"/>
      <w:bookmarkEnd w:id="116"/>
      <w:bookmarkEnd w:id="117"/>
      <w:bookmarkEnd w:id="118"/>
      <w:bookmarkEnd w:id="119"/>
      <w:bookmarkEnd w:id="120"/>
      <w:bookmarkEnd w:id="121"/>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bCs/>
          <w:color w:val="auto"/>
          <w:sz w:val="32"/>
          <w:szCs w:val="32"/>
        </w:rPr>
        <w:t>截至</w:t>
      </w:r>
      <w:r>
        <w:rPr>
          <w:rFonts w:hint="eastAsia" w:ascii="仿宋_GB2312" w:hAnsi="ˎ̥" w:eastAsia="仿宋_GB2312"/>
          <w:bCs/>
          <w:color w:val="auto"/>
          <w:sz w:val="32"/>
          <w:szCs w:val="32"/>
          <w:lang w:eastAsia="zh-CN"/>
        </w:rPr>
        <w:t>2024年</w:t>
      </w:r>
      <w:r>
        <w:rPr>
          <w:rFonts w:hint="eastAsia" w:ascii="仿宋_GB2312" w:hAnsi="ˎ̥" w:eastAsia="仿宋_GB2312"/>
          <w:bCs/>
          <w:color w:val="auto"/>
          <w:sz w:val="32"/>
          <w:szCs w:val="32"/>
        </w:rPr>
        <w:t>12月31日，</w:t>
      </w: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辆，</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用于民辅警出差、交警开道、各部门、警务站、派出所出勤等等。</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02"/>
      <w:bookmarkEnd w:id="103"/>
      <w:bookmarkEnd w:id="104"/>
      <w:bookmarkEnd w:id="105"/>
      <w:bookmarkEnd w:id="106"/>
      <w:bookmarkEnd w:id="107"/>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18</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09CF3CF"/>
    <w:multiLevelType w:val="singleLevel"/>
    <w:tmpl w:val="B09CF3CF"/>
    <w:lvl w:ilvl="0" w:tentative="0">
      <w:start w:val="7"/>
      <w:numFmt w:val="chineseCounting"/>
      <w:suff w:val="nothing"/>
      <w:lvlText w:val="%1、"/>
      <w:lvlJc w:val="left"/>
      <w:rPr>
        <w:rFonts w:hint="eastAsia"/>
      </w:rPr>
    </w:lvl>
  </w:abstractNum>
  <w:abstractNum w:abstractNumId="2">
    <w:nsid w:val="45ECA4D3"/>
    <w:multiLevelType w:val="singleLevel"/>
    <w:tmpl w:val="45ECA4D3"/>
    <w:lvl w:ilvl="0" w:tentative="0">
      <w:start w:val="2"/>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12534A"/>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BD0674"/>
    <w:rsid w:val="029324ED"/>
    <w:rsid w:val="03671B82"/>
    <w:rsid w:val="068B388B"/>
    <w:rsid w:val="08A33D57"/>
    <w:rsid w:val="09201287"/>
    <w:rsid w:val="0AE05360"/>
    <w:rsid w:val="0B054D9F"/>
    <w:rsid w:val="0BEB1F5D"/>
    <w:rsid w:val="0D882197"/>
    <w:rsid w:val="0E184DC9"/>
    <w:rsid w:val="0FC80124"/>
    <w:rsid w:val="13071936"/>
    <w:rsid w:val="136F98C7"/>
    <w:rsid w:val="14FD7C13"/>
    <w:rsid w:val="15CE3F87"/>
    <w:rsid w:val="161E010E"/>
    <w:rsid w:val="1659747D"/>
    <w:rsid w:val="16BE7989"/>
    <w:rsid w:val="17427E68"/>
    <w:rsid w:val="1755065F"/>
    <w:rsid w:val="1832346D"/>
    <w:rsid w:val="1A2266E4"/>
    <w:rsid w:val="1AFC29C9"/>
    <w:rsid w:val="1CA52F2E"/>
    <w:rsid w:val="1CF20597"/>
    <w:rsid w:val="1DFE370B"/>
    <w:rsid w:val="1E3630B9"/>
    <w:rsid w:val="1F0D4AC3"/>
    <w:rsid w:val="1F9B5B51"/>
    <w:rsid w:val="1FFF6B02"/>
    <w:rsid w:val="21850FDE"/>
    <w:rsid w:val="240C319D"/>
    <w:rsid w:val="24D6412C"/>
    <w:rsid w:val="26EEC2B5"/>
    <w:rsid w:val="26FC5B1D"/>
    <w:rsid w:val="27120B7A"/>
    <w:rsid w:val="29472309"/>
    <w:rsid w:val="29BB47EF"/>
    <w:rsid w:val="2A916356"/>
    <w:rsid w:val="2AC16E4B"/>
    <w:rsid w:val="2B406E77"/>
    <w:rsid w:val="2C2A0C43"/>
    <w:rsid w:val="2CA8737F"/>
    <w:rsid w:val="2D1621AB"/>
    <w:rsid w:val="2D1E73A5"/>
    <w:rsid w:val="2E6565C2"/>
    <w:rsid w:val="2ED135A7"/>
    <w:rsid w:val="2EDF0F08"/>
    <w:rsid w:val="2EEC389E"/>
    <w:rsid w:val="2F5C08E5"/>
    <w:rsid w:val="30807CA4"/>
    <w:rsid w:val="317D7C5F"/>
    <w:rsid w:val="32717154"/>
    <w:rsid w:val="32864E42"/>
    <w:rsid w:val="332351BA"/>
    <w:rsid w:val="335E4965"/>
    <w:rsid w:val="34B63260"/>
    <w:rsid w:val="37FDA7E2"/>
    <w:rsid w:val="38192195"/>
    <w:rsid w:val="385D21A0"/>
    <w:rsid w:val="399B23FA"/>
    <w:rsid w:val="39EE78A8"/>
    <w:rsid w:val="3A314D88"/>
    <w:rsid w:val="3A746883"/>
    <w:rsid w:val="3BA13919"/>
    <w:rsid w:val="3BF04668"/>
    <w:rsid w:val="3CA15DE9"/>
    <w:rsid w:val="3D61147F"/>
    <w:rsid w:val="3D736BC0"/>
    <w:rsid w:val="3ED616A5"/>
    <w:rsid w:val="3FE61EE5"/>
    <w:rsid w:val="40010245"/>
    <w:rsid w:val="406508EE"/>
    <w:rsid w:val="408D6263"/>
    <w:rsid w:val="412B0DA3"/>
    <w:rsid w:val="416627DB"/>
    <w:rsid w:val="41B40CEE"/>
    <w:rsid w:val="44864388"/>
    <w:rsid w:val="44E03403"/>
    <w:rsid w:val="46A1108D"/>
    <w:rsid w:val="46A447AE"/>
    <w:rsid w:val="46E67E81"/>
    <w:rsid w:val="48317291"/>
    <w:rsid w:val="485F7024"/>
    <w:rsid w:val="48E70666"/>
    <w:rsid w:val="49E25274"/>
    <w:rsid w:val="4B2125F4"/>
    <w:rsid w:val="4C61598D"/>
    <w:rsid w:val="4C6877E5"/>
    <w:rsid w:val="4D6A468D"/>
    <w:rsid w:val="4EA86137"/>
    <w:rsid w:val="51016BC2"/>
    <w:rsid w:val="51DA6CD8"/>
    <w:rsid w:val="521B504A"/>
    <w:rsid w:val="534F05FD"/>
    <w:rsid w:val="542F1F2F"/>
    <w:rsid w:val="56CA7FD0"/>
    <w:rsid w:val="57FA38D1"/>
    <w:rsid w:val="58471724"/>
    <w:rsid w:val="5AF3495B"/>
    <w:rsid w:val="5AF90702"/>
    <w:rsid w:val="5BDF23FE"/>
    <w:rsid w:val="5D213B6E"/>
    <w:rsid w:val="5D3C1DD9"/>
    <w:rsid w:val="5E7068EA"/>
    <w:rsid w:val="5EA875AD"/>
    <w:rsid w:val="5F7D3333"/>
    <w:rsid w:val="60AE31D8"/>
    <w:rsid w:val="60F06516"/>
    <w:rsid w:val="611A363E"/>
    <w:rsid w:val="61385890"/>
    <w:rsid w:val="62F1225B"/>
    <w:rsid w:val="64FD68FA"/>
    <w:rsid w:val="6504510C"/>
    <w:rsid w:val="66C35503"/>
    <w:rsid w:val="671F7586"/>
    <w:rsid w:val="677333FD"/>
    <w:rsid w:val="687436E1"/>
    <w:rsid w:val="69BF75B1"/>
    <w:rsid w:val="6B4C55F7"/>
    <w:rsid w:val="6BB25D6B"/>
    <w:rsid w:val="6BEE02F1"/>
    <w:rsid w:val="6BFEBB02"/>
    <w:rsid w:val="6CEB6FF1"/>
    <w:rsid w:val="6DA45C50"/>
    <w:rsid w:val="6E9A7825"/>
    <w:rsid w:val="6EB6550C"/>
    <w:rsid w:val="6F670F9B"/>
    <w:rsid w:val="6FC65FE7"/>
    <w:rsid w:val="70043F21"/>
    <w:rsid w:val="71E11ACA"/>
    <w:rsid w:val="72A61621"/>
    <w:rsid w:val="737450E0"/>
    <w:rsid w:val="74054476"/>
    <w:rsid w:val="742F38C4"/>
    <w:rsid w:val="745C5B34"/>
    <w:rsid w:val="74AB66DC"/>
    <w:rsid w:val="74C4154C"/>
    <w:rsid w:val="751A5F84"/>
    <w:rsid w:val="75847558"/>
    <w:rsid w:val="75937F0E"/>
    <w:rsid w:val="75956FFF"/>
    <w:rsid w:val="77AA2D01"/>
    <w:rsid w:val="781F4E85"/>
    <w:rsid w:val="78C95FBC"/>
    <w:rsid w:val="7910399E"/>
    <w:rsid w:val="7B043560"/>
    <w:rsid w:val="7B73F900"/>
    <w:rsid w:val="7BA57EF4"/>
    <w:rsid w:val="7CDE1DBD"/>
    <w:rsid w:val="7D943A85"/>
    <w:rsid w:val="7DB0448C"/>
    <w:rsid w:val="7DD20489"/>
    <w:rsid w:val="7E5F9AA4"/>
    <w:rsid w:val="7F6E409B"/>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link w:val="19"/>
    <w:qFormat/>
    <w:uiPriority w:val="0"/>
    <w:pPr>
      <w:jc w:val="left"/>
    </w:pPr>
  </w:style>
  <w:style w:type="paragraph" w:styleId="5">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6">
    <w:name w:val="Body Text Indent"/>
    <w:basedOn w:val="1"/>
    <w:next w:val="7"/>
    <w:qFormat/>
    <w:uiPriority w:val="0"/>
    <w:pPr>
      <w:spacing w:after="120"/>
      <w:ind w:left="420" w:leftChars="200"/>
    </w:p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toc 3"/>
    <w:basedOn w:val="1"/>
    <w:next w:val="1"/>
    <w:qFormat/>
    <w:uiPriority w:val="0"/>
    <w:pPr>
      <w:ind w:left="840" w:leftChars="400"/>
    </w:pPr>
  </w:style>
  <w:style w:type="paragraph" w:styleId="9">
    <w:name w:val="Balloon Text"/>
    <w:basedOn w:val="1"/>
    <w:link w:val="20"/>
    <w:qFormat/>
    <w:uiPriority w:val="0"/>
    <w:rPr>
      <w:sz w:val="18"/>
      <w:szCs w:val="18"/>
    </w:rPr>
  </w:style>
  <w:style w:type="paragraph" w:styleId="10">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13">
    <w:name w:val="annotation subject"/>
    <w:basedOn w:val="4"/>
    <w:next w:val="4"/>
    <w:link w:val="22"/>
    <w:qFormat/>
    <w:uiPriority w:val="0"/>
    <w:rPr>
      <w:b/>
      <w:bCs/>
    </w:rPr>
  </w:style>
  <w:style w:type="paragraph" w:styleId="14">
    <w:name w:val="Body Text First Indent 2"/>
    <w:basedOn w:val="6"/>
    <w:next w:val="8"/>
    <w:unhideWhenUsed/>
    <w:qFormat/>
    <w:uiPriority w:val="99"/>
    <w:pPr>
      <w:ind w:firstLine="420" w:firstLineChars="200"/>
    </w:pPr>
  </w:style>
  <w:style w:type="character" w:styleId="17">
    <w:name w:val="page number"/>
    <w:qFormat/>
    <w:uiPriority w:val="0"/>
  </w:style>
  <w:style w:type="character" w:styleId="18">
    <w:name w:val="annotation reference"/>
    <w:qFormat/>
    <w:uiPriority w:val="0"/>
    <w:rPr>
      <w:sz w:val="21"/>
      <w:szCs w:val="21"/>
    </w:rPr>
  </w:style>
  <w:style w:type="character" w:customStyle="1" w:styleId="19">
    <w:name w:val="批注文字 Char"/>
    <w:link w:val="4"/>
    <w:qFormat/>
    <w:uiPriority w:val="0"/>
    <w:rPr>
      <w:kern w:val="2"/>
      <w:sz w:val="21"/>
      <w:szCs w:val="24"/>
    </w:rPr>
  </w:style>
  <w:style w:type="character" w:customStyle="1" w:styleId="20">
    <w:name w:val="批注框文本 Char"/>
    <w:link w:val="9"/>
    <w:qFormat/>
    <w:uiPriority w:val="0"/>
    <w:rPr>
      <w:kern w:val="2"/>
      <w:sz w:val="18"/>
      <w:szCs w:val="18"/>
    </w:rPr>
  </w:style>
  <w:style w:type="character" w:customStyle="1" w:styleId="21">
    <w:name w:val="页眉 Char"/>
    <w:link w:val="10"/>
    <w:qFormat/>
    <w:uiPriority w:val="0"/>
    <w:rPr>
      <w:kern w:val="2"/>
      <w:sz w:val="18"/>
      <w:szCs w:val="18"/>
    </w:rPr>
  </w:style>
  <w:style w:type="character" w:customStyle="1" w:styleId="22">
    <w:name w:val="批注主题 Char"/>
    <w:link w:val="13"/>
    <w:qFormat/>
    <w:uiPriority w:val="0"/>
    <w:rPr>
      <w:b/>
      <w:bCs/>
      <w:kern w:val="2"/>
      <w:sz w:val="21"/>
      <w:szCs w:val="24"/>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Chars="200"/>
    </w:pPr>
    <w:rPr>
      <w:rFonts w:ascii="Times New Roman" w:hAnsi="Times New Roman" w:eastAsia="宋体" w:cs="Times New Roman"/>
      <w:lang w:val="en-US" w:eastAsia="zh-CN" w:bidi="ar-SA"/>
    </w:rPr>
  </w:style>
  <w:style w:type="paragraph" w:customStyle="1" w:styleId="25">
    <w:name w:val="正文1 Char Char Char"/>
    <w:basedOn w:val="1"/>
    <w:qFormat/>
    <w:uiPriority w:val="0"/>
    <w:pPr>
      <w:spacing w:line="360" w:lineRule="auto"/>
      <w:ind w:firstLine="200" w:firstLineChars="200"/>
    </w:pPr>
  </w:style>
  <w:style w:type="paragraph" w:customStyle="1" w:styleId="26">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9042</Words>
  <Characters>13560</Characters>
  <Lines>67</Lines>
  <Paragraphs>18</Paragraphs>
  <TotalTime>1</TotalTime>
  <ScaleCrop>false</ScaleCrop>
  <LinksUpToDate>false</LinksUpToDate>
  <CharactersWithSpaces>13788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2024-07-24T19:26:00Z</dcterms:created>
  <dc:creator>uos</dc:creator>
  <cp:lastModifiedBy>user</cp:lastModifiedBy>
  <cp:lastPrinted>2025-11-04T21:29:00Z</cp:lastPrinted>
  <dcterms:modified xsi:type="dcterms:W3CDTF">2025-11-05T18:14:52Z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