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墨脱县市场监督管理局机关2024年度部门决算公开报告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20"/>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20"/>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20"/>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21"/>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21"/>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21"/>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20"/>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704_WPSOffice_Level1"/>
      <w:bookmarkStart w:id="3" w:name="_Toc10720_WPSOffice_Level1"/>
      <w:bookmarkStart w:id="4" w:name="_Toc23465_WPSOffice_Level1"/>
      <w:bookmarkStart w:id="5" w:name="_Toc32433_WPSOffice_Level1"/>
      <w:bookmarkStart w:id="6" w:name="_Toc22941_WPSOffice_Level1"/>
      <w:bookmarkStart w:id="7" w:name="_Toc10049_WPSOffice_Level1"/>
      <w:bookmarkStart w:id="8" w:name="_Toc24238_WPSOffice_Level2"/>
      <w:bookmarkStart w:id="9" w:name="_Toc14159_WPSOffice_Level2"/>
      <w:bookmarkStart w:id="10" w:name="_Toc32622_WPSOffice_Level2"/>
      <w:bookmarkStart w:id="11" w:name="_Toc20205_WPSOffice_Level2"/>
      <w:bookmarkStart w:id="12" w:name="_Toc26580_WPSOffice_Level2"/>
      <w:bookmarkStart w:id="13" w:name="_Toc20274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bookmarkStart w:id="14" w:name="_Toc24474_WPSOffice_Level2"/>
      <w:bookmarkStart w:id="15" w:name="_Toc24059_WPSOffice_Level2"/>
      <w:bookmarkStart w:id="16" w:name="_Toc17796_WPSOffice_Level2"/>
      <w:bookmarkStart w:id="17" w:name="_Toc4833_WPSOffice_Level2"/>
      <w:bookmarkStart w:id="18" w:name="_Toc6572_WPSOffice_Level2"/>
      <w:r>
        <w:rPr>
          <w:rFonts w:hint="eastAsia" w:ascii="仿宋_GB2312" w:hAnsi="ˎ̥" w:eastAsia="仿宋_GB2312"/>
          <w:sz w:val="32"/>
          <w:szCs w:val="32"/>
        </w:rPr>
        <w:t>(一)负责市场综合监督管理。贯彻执行国家、自治区、林芝市有关市场监督管理的法律法规和政策，组织落实质量强国战略、食品安全战略和标准化战略，拟订并组织实施有关规划，组织实施对全县各类经营主体的监督管理，规范和维护市场秩序，营造诚实守信、公平竞争的市场环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负责市场主体统一登记注册。指导全县各类企业、农牧民专业合作社和从事经营活动的单位、个体工商户等市场主体的登记注册工作。建立市场经营主体信息公示和共享机制，依法公示和共享有关信息，加强信用监管，推动市场经营主体信用体系建设。完善边境地区“一站式”市场准入服务工作，支持边境地区市场经营主体健康发展，助力国家固边兴边富民行动示范区创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(三)负责指导和监督市场监督管理执法工作。指导全县市场监督管理执法工作，推动实行统一的市场监督管理。组织查处和督办重大违法案件。规范市场监督管理行政执法行为。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负责反垄断统一执法。统筹推进竞争政策实施，指导实施公平竞争审查制度。依法依授权对经营者市场行为进行反垄断审查，负责对垄断协议、滥用市场支配地位和滥用行政权力排除、限制竞争等行为的反垄断执法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负责监督管理市场秩序。依法监督管理市场交易、网络商品交易及有关服务的行为，协助相关部门开展野生动植物非法交易治理。组织指导查处价格收费违法违规、不正当竞争、违法直销、传销、侵犯商标专利知识产权和制售假冒伪劣行为。指导广告业发展，监督管理广告活动。依法查处无照生产经营和相关无证生产经营行为。负责消费维权工作。指导县消费者协会开展工作。指导消费者环境建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负责宏观质量管理。推进质量强县工作。统筹全县质量基础设施协同服务与应用。会同有关部门组织实施重大工程设备质量监理制度，组织重大质量事故调查，贯彻实施缺陷产品召回制度，监督管理产品防伪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(七)负责产品质量安全监督管理。负责产品质量风险防控和监督抽查工作。组织实施质量分级制度、质量安全追溯制度。负责工业产品生产许可管理。负责纤维质量监督工作。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(八)负责特种设备安全监督管理。综合管理特种设备安全监察、监督工作，监督检查高耗能特种设备节能标准和锅炉环境保护标准的执行情况。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负责食品安全监督管理综合协调。贯彻国家食品安全制度，细化相关措施并组织实施。负责推动食品安全党政同责、属地管理责任落实，建立健全长效机制。负责县食品安全应急体系建设，承担重大食品安全事件应急处置和调查处理工作。贯彻执行食品安全重要信息直报制度。承担县食品药品安全委员会日常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负责食品安全监督管理。制定并组织实施全县覆盖食品生产、流通、消费全过程的监督检查和隐患排查治理措施，防范区域性、系统性食品安全风险。推动建立食品生产经营者落实主体责任的机制，健全食品安全追溯体系。组织开展食品安全监督抽检、风险监测、检查处置和风险预警、风险交流工作。组织实施特殊食品监督管理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负责统一管理计量工作。推行国家法定计量单位，执行国家计量制度，管理计量器具及量值传递和比对工作。规范、监督商品量和市场计量行为。探索开展碳计量工作，加强能源计量监督管理，促进节能减排，助力国家生态文明高地创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(十二)负责统一管理标准化工作。依法承担地方标准的立项、编号和发布工作。依法协调指导和监督地方标准、团体标准、企业标准制定工作。组织开展标准化执行的监督管理。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(十三)负责统一管理检验检测工作。推进检验检测机构改革，规范检验检测市场，完善检验检测体系，指导协调检验检测行业发展。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(十四)负责统一管理、监督和综合协调认证工作。组织实施国家统一的认证和合格评定监督管理制度。负责全县检验检测机构资质认定工作。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(十五)负责知识产权工作。组织实施知识产权强国建设有关政策，负责保护知识产权、促进知识产权运用、建立知识产权公共服务体系、依授权统筹协调涉外知识产权事宜。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(十六)负责市场监督管理科技和信息化建设、新闻宣传。按规定承担技术性贸易措施有关工作。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七)负责药品(含中药、民族药，下同)、医疗器械和化妆品安全监督管理。监督实施国家药品、医疗器械和化妆品法律法规和部门规章，组织起草相关地方性规范文件并监督实施，拟订我县监督管理政策规划。研究拟订鼓励药品、医疗器械和化妆品新技术新产品的管理与服务制度。推动药品、医疗器械和化妆品监督管理体系建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(十八)负责监督实施国家药品、医疗器械和化妆品标准。监督实施地方药材标准和医疗机构制剂标准。组织实施中药品种保护制度和药品分类管理制度相关工作。配合实施基本药物制度。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(十九)按照规定权限，负责药品(零售)经营环节的行政许可。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(二十)负责医疗器械(一类)备案管理。负责医疗器械经营环节行政许可及备案。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(二十一)负责药品、医疗器械和化妆品质量管理。监督实施药品、医疗器械经营质量管理规范。组织实施全县药品、医疗器械和化妆品经营监督管理制度。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二)负责药品、医疗器械和化妆品上市后风险管理。组织开展药品不良反应、医疗器械不良事件和化妆品不良反应的监测、评价和处置工作。拟订并监督实施全县药品、医疗器械和化妆品质量抽查检验计划，发布质量公告，组织排查风险隐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(二十三)组织实施执业药师相关监督管理工作。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(二十四)负责组织指导药品、医疗器械和化妆品监督检查。依职责组织指导查处经营使用环节的违法行为。建立问题产品召回和处理制度并监督实施。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(二十五)负责组织指导药品、医疗器械和化妆品监督管理领域安全宣传、教育培训。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(二十六)负责指导各乡(镇)药品监督管理工作。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七)负责编制全县市场监管综合行政执法工作的规范性文件，中长期规划和年度计划并组织实施。组织查处市场主体准入、生产、经营、交易中的有关违法行为和案件查办工作。组织查办上级交办、部门移交和本辖区发生的涉及市场监管方面的重大、复杂、疑难案件及跨区域案件。查处生产销售假冒伪劣商品、不正当竞争、商标侵权、专利侵权、违法广告、侵害消费者权益、无照经营、合同欺诈、违法直销和传销等经济违法案件。依法查处违反食品、药品、医疗器械、化妆品、质量、计量、标准化、特种设备、烟草、食盐和知识产权保护等法律法规的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八)承担有关反不正当竞争执法工作，按上级安排承担反垄断执法工作。承担监督规范直销，打击传销工作，协同相关部门开展打击传销联合行动工作。承担市场监管执法后督察和挂牌督办工作。承担市场监管行政处罚案件的统计分析工作。负责全县市场监管综合行政执法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(二十九)建立结合行业管理和业务监管抓党建的工作机制，强化管行业就要管党建的意识。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(三十)负责本行业本领域安全生产监督管理和应急处置工作。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(三十一)完成县委、</w:t>
      </w:r>
      <w:r>
        <w:rPr>
          <w:rFonts w:hint="eastAsia" w:ascii="仿宋_GB2312" w:hAnsi="ˎ̥" w:eastAsia="仿宋_GB2312"/>
          <w:sz w:val="32"/>
          <w:szCs w:val="32"/>
          <w:lang w:eastAsia="zh-CN"/>
        </w:rPr>
        <w:t>县</w:t>
      </w:r>
      <w:r>
        <w:rPr>
          <w:rFonts w:hint="eastAsia" w:ascii="仿宋_GB2312" w:hAnsi="ˎ̥" w:eastAsia="仿宋_GB2312"/>
          <w:sz w:val="32"/>
          <w:szCs w:val="32"/>
        </w:rPr>
        <w:t>政府交办的其他任务。</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bookmarkStart w:id="19" w:name="_Toc28253_WPSOffice_Level1"/>
      <w:bookmarkStart w:id="20" w:name="_Toc30451_WPSOffice_Level1"/>
      <w:bookmarkStart w:id="21" w:name="_Toc8164_WPSOffice_Level1"/>
      <w:bookmarkStart w:id="22" w:name="_Toc15521_WPSOffice_Level1"/>
      <w:bookmarkStart w:id="23" w:name="_Toc6234_WPSOffice_Level1"/>
      <w:bookmarkStart w:id="24" w:name="_Toc30690_WPSOffice_Level1"/>
      <w:bookmarkStart w:id="25" w:name="_Toc32472_WPSOffice_Level2"/>
      <w:bookmarkStart w:id="26" w:name="_Toc11518_WPSOffice_Level2"/>
      <w:bookmarkStart w:id="27" w:name="_Toc8867_WPSOffice_Level2"/>
      <w:bookmarkStart w:id="28" w:name="_Toc32695_WPSOffice_Level2"/>
      <w:bookmarkStart w:id="29" w:name="_Toc6211_WPSOffice_Level2"/>
      <w:bookmarkStart w:id="30" w:name="_Toc4029_WPSOffice_Level2"/>
      <w:r>
        <w:rPr>
          <w:rFonts w:hint="eastAsia" w:ascii="仿宋_GB2312" w:hAnsi="ˎ̥" w:eastAsia="仿宋_GB2312"/>
          <w:sz w:val="32"/>
          <w:szCs w:val="32"/>
          <w:lang w:eastAsia="zh-CN"/>
        </w:rPr>
        <w:t>墨脱</w:t>
      </w:r>
      <w:r>
        <w:rPr>
          <w:rFonts w:hint="eastAsia" w:ascii="仿宋_GB2312" w:hAnsi="ˎ̥" w:eastAsia="仿宋_GB2312"/>
          <w:sz w:val="32"/>
          <w:szCs w:val="32"/>
        </w:rPr>
        <w:t>县市场监督管理局是县人民政府工作部门，为正科级。人员编制6名(含3名执法编制)。科级领导职数3名(不含兼职)。</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pStyle w:val="2"/>
        <w:rPr>
          <w:rFonts w:hint="eastAsia"/>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5608_WPSOffice_Level2"/>
      <w:bookmarkStart w:id="32" w:name="_Toc14349_WPSOffice_Level2"/>
      <w:bookmarkStart w:id="33" w:name="_Toc26621_WPSOffice_Level2"/>
      <w:bookmarkStart w:id="34" w:name="_Toc30334_WPSOffice_Level2"/>
      <w:bookmarkStart w:id="35" w:name="_Toc28622_WPSOffice_Level2"/>
      <w:bookmarkStart w:id="36" w:name="_Toc2313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17858_WPSOffice_Level2"/>
      <w:bookmarkStart w:id="39" w:name="_Toc17626_WPSOffice_Level2"/>
      <w:bookmarkStart w:id="40" w:name="_Toc3262_WPSOffice_Level2"/>
      <w:bookmarkStart w:id="41" w:name="_Toc14658_WPSOffice_Level2"/>
      <w:bookmarkStart w:id="42" w:name="_Toc5489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21415_WPSOffice_Level2"/>
      <w:bookmarkStart w:id="45" w:name="_Toc23493_WPSOffice_Level2"/>
      <w:bookmarkStart w:id="46" w:name="_Toc4265_WPSOffice_Level2"/>
      <w:bookmarkStart w:id="47" w:name="_Toc23591_WPSOffice_Level2"/>
      <w:bookmarkStart w:id="48" w:name="_Toc798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7879_WPSOffice_Level2"/>
      <w:bookmarkStart w:id="50" w:name="_Toc25166_WPSOffice_Level2"/>
      <w:bookmarkStart w:id="51" w:name="_Toc22783_WPSOffice_Level2"/>
      <w:bookmarkStart w:id="52" w:name="_Toc2382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8373_WPSOffice_Level2"/>
      <w:bookmarkStart w:id="57" w:name="_Toc2632_WPSOffice_Level2"/>
      <w:bookmarkStart w:id="58" w:name="_Toc17833_WPSOffice_Level2"/>
      <w:bookmarkStart w:id="59" w:name="_Toc17283_WPSOffice_Level2"/>
      <w:bookmarkStart w:id="60" w:name="_Toc534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533_WPSOffice_Level2"/>
      <w:bookmarkStart w:id="62" w:name="_Toc21310_WPSOffice_Level2"/>
      <w:bookmarkStart w:id="63" w:name="_Toc13345_WPSOffice_Level2"/>
      <w:bookmarkStart w:id="64" w:name="_Toc6020_WPSOffice_Level2"/>
      <w:bookmarkStart w:id="65" w:name="_Toc11799_WPSOffice_Level2"/>
      <w:bookmarkStart w:id="66" w:name="_Toc5594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9961_WPSOffice_Level2"/>
      <w:bookmarkStart w:id="68" w:name="_Toc9377_WPSOffice_Level2"/>
      <w:bookmarkStart w:id="69" w:name="_Toc1820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pStyle w:val="2"/>
        <w:rPr>
          <w:rFonts w:hint="eastAsia"/>
        </w:rPr>
      </w:pPr>
      <w:r>
        <w:rPr>
          <w:rFonts w:hint="eastAsia" w:ascii="仿宋" w:hAnsi="仿宋" w:eastAsia="仿宋" w:cs="仿宋"/>
          <w:w w:val="100"/>
          <w:sz w:val="32"/>
          <w:szCs w:val="32"/>
        </w:rPr>
        <w:t>以上报表见附件1。</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4402_WPSOffice_Level1"/>
      <w:bookmarkStart w:id="72" w:name="_Toc16686_WPSOffice_Level1"/>
      <w:bookmarkStart w:id="73" w:name="_Toc29683_WPSOffice_Level1"/>
      <w:bookmarkStart w:id="74" w:name="_Toc27590_WPSOffice_Level1"/>
      <w:bookmarkStart w:id="75" w:name="_Toc31264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一、收入支出总体情况说明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271.03</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51.61</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预算专项经费增加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收入</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794.11</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无变化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无变化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支出</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无变化。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w:t>
      </w:r>
      <w:r>
        <w:rPr>
          <w:rFonts w:hint="eastAsia" w:ascii="仿宋_GB2312" w:hAnsi="ˎ̥" w:eastAsia="仿宋_GB2312"/>
          <w:color w:val="000000" w:themeColor="text1"/>
          <w:sz w:val="32"/>
          <w:szCs w:val="32"/>
          <w:lang w:eastAsia="zh-CN"/>
          <w14:textFill>
            <w14:solidFill>
              <w14:schemeClr w14:val="tx1"/>
            </w14:solidFill>
          </w14:textFill>
        </w:rPr>
        <w:t>无变化。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794.11</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794.11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%；上级补助收入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%；事业收入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%；附属单位上缴收入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353.69</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44.43</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442.47</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55.57</w:t>
      </w:r>
      <w:r>
        <w:rPr>
          <w:rFonts w:hint="eastAsia" w:ascii="仿宋_GB2312" w:hAnsi="ˎ̥" w:eastAsia="仿宋_GB2312"/>
          <w:color w:val="000000" w:themeColor="text1"/>
          <w:sz w:val="32"/>
          <w:szCs w:val="32"/>
          <w14:textFill>
            <w14:solidFill>
              <w14:schemeClr w14:val="tx1"/>
            </w14:solidFill>
          </w14:textFill>
        </w:rPr>
        <w:t>%；上缴上级支出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%；经营支出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%；对附属单位补助支出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271.03</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51.61</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预算专项经费增加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000000" w:themeColor="text1"/>
          <w:sz w:val="32"/>
          <w:szCs w:val="32"/>
          <w:lang w:val="en-US"/>
          <w14:textFill>
            <w14:solidFill>
              <w14:schemeClr w14:val="tx1"/>
            </w14:solidFill>
          </w14:textFill>
        </w:rPr>
      </w:pPr>
      <w:r>
        <w:rPr>
          <w:rFonts w:hint="eastAsia" w:ascii="仿宋_GB2312" w:hAnsi="ˎ̥" w:eastAsia="仿宋_GB2312"/>
          <w:color w:val="000000" w:themeColor="text1"/>
          <w:sz w:val="32"/>
          <w:szCs w:val="32"/>
          <w:lang w:val="en-US"/>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lang w:val="en-US"/>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lang w:val="en-US"/>
          <w14:textFill>
            <w14:solidFill>
              <w14:schemeClr w14:val="tx1"/>
            </w14:solidFill>
          </w14:textFill>
        </w:rPr>
        <w:t>年度决算数</w:t>
      </w:r>
      <w:r>
        <w:rPr>
          <w:rFonts w:hint="eastAsia" w:ascii="仿宋_GB2312" w:hAnsi="ˎ̥" w:eastAsia="仿宋_GB2312"/>
          <w:color w:val="000000" w:themeColor="text1"/>
          <w:sz w:val="32"/>
          <w:szCs w:val="32"/>
          <w:lang w:val="en-US" w:eastAsia="zh-CN"/>
          <w14:textFill>
            <w14:solidFill>
              <w14:schemeClr w14:val="tx1"/>
            </w14:solidFill>
          </w14:textFill>
        </w:rPr>
        <w:t>无变化</w:t>
      </w:r>
      <w:r>
        <w:rPr>
          <w:rFonts w:hint="eastAsia" w:ascii="仿宋_GB2312" w:hAnsi="ˎ̥" w:eastAsia="仿宋_GB2312"/>
          <w:color w:val="000000" w:themeColor="text1"/>
          <w:sz w:val="32"/>
          <w:szCs w:val="32"/>
          <w:lang w:val="en-U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77" w:name="_Toc23005_WPSOffice_Level2"/>
      <w:bookmarkStart w:id="78" w:name="_Toc17398_WPSOffice_Level2"/>
      <w:bookmarkStart w:id="79" w:name="_Toc19665_WPSOffice_Level2"/>
      <w:bookmarkStart w:id="80" w:name="_Toc9989_WPSOffice_Level2"/>
      <w:bookmarkStart w:id="81" w:name="_Toc21737_WPSOffice_Level2"/>
      <w:bookmarkStart w:id="82" w:name="_Toc13694_WPSOffice_Level2"/>
      <w:r>
        <w:rPr>
          <w:rFonts w:hint="eastAsia" w:ascii="楷体" w:hAnsi="楷体" w:eastAsia="楷体" w:cs="楷体"/>
          <w:color w:val="000000" w:themeColor="text1"/>
          <w:sz w:val="32"/>
          <w:szCs w:val="32"/>
          <w14:textFill>
            <w14:solidFill>
              <w14:schemeClr w14:val="tx1"/>
            </w14:solidFill>
          </w14:textFill>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w:t>
      </w:r>
      <w:bookmarkStart w:id="83" w:name="_Toc23864_WPSOffice_Level2"/>
      <w:bookmarkStart w:id="84" w:name="_Toc2711_WPSOffice_Level2"/>
      <w:bookmarkStart w:id="85" w:name="_Toc18793_WPSOffice_Level2"/>
      <w:bookmarkStart w:id="86" w:name="_Toc27767_WPSOffice_Level2"/>
      <w:bookmarkStart w:id="87" w:name="_Toc19075_WPSOffice_Level2"/>
      <w:bookmarkStart w:id="88" w:name="_Toc19535_WPSOffice_Level2"/>
      <w:r>
        <w:rPr>
          <w:rFonts w:hint="eastAsia" w:ascii="仿宋_GB2312" w:hAnsi="ˎ̥" w:eastAsia="仿宋_GB2312"/>
          <w:color w:val="000000" w:themeColor="text1"/>
          <w:sz w:val="32"/>
          <w:szCs w:val="32"/>
          <w14:textFill>
            <w14:solidFill>
              <w14:schemeClr w14:val="tx1"/>
            </w14:solidFill>
          </w14:textFill>
        </w:rPr>
        <w:t>增加</w:t>
      </w:r>
      <w:r>
        <w:rPr>
          <w:rFonts w:hint="eastAsia" w:ascii="仿宋_GB2312" w:hAnsi="ˎ̥" w:eastAsia="仿宋_GB2312"/>
          <w:color w:val="000000" w:themeColor="text1"/>
          <w:sz w:val="32"/>
          <w:szCs w:val="32"/>
          <w:lang w:val="en-US" w:eastAsia="zh-CN"/>
          <w14:textFill>
            <w14:solidFill>
              <w14:schemeClr w14:val="tx1"/>
            </w14:solidFill>
          </w14:textFill>
        </w:rPr>
        <w:t>271.03</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51.61</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预算专项经费增加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s="Times New Roman"/>
          <w:color w:val="000000" w:themeColor="text1"/>
          <w:sz w:val="32"/>
          <w:szCs w:val="32"/>
          <w:lang w:val="en-US"/>
          <w14:textFill>
            <w14:solidFill>
              <w14:schemeClr w14:val="tx1"/>
            </w14:solidFill>
          </w14:textFill>
        </w:rPr>
        <w:t>693.11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87.06</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37.99</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4.77</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39.29</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4.93</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s="Times New Roman"/>
          <w:b/>
          <w:bCs/>
          <w:color w:val="000000" w:themeColor="text1"/>
          <w:sz w:val="32"/>
          <w:szCs w:val="32"/>
          <w14:textFill>
            <w14:solidFill>
              <w14:schemeClr w14:val="tx1"/>
            </w14:solidFill>
          </w14:textFill>
        </w:rPr>
        <w:t>卫生健康</w:t>
      </w:r>
      <w:r>
        <w:rPr>
          <w:rFonts w:hint="eastAsia" w:ascii="仿宋_GB2312" w:hAnsi="ˎ̥" w:eastAsia="仿宋_GB2312"/>
          <w:b/>
          <w:bCs/>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23.03</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2.89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s="Times New Roman"/>
          <w:b/>
          <w:bCs/>
          <w:color w:val="000000" w:themeColor="text1"/>
          <w:sz w:val="32"/>
          <w:szCs w:val="32"/>
          <w14:textFill>
            <w14:solidFill>
              <w14:schemeClr w14:val="tx1"/>
            </w14:solidFill>
          </w14:textFill>
        </w:rPr>
        <w:t>城乡社区</w:t>
      </w:r>
      <w:r>
        <w:rPr>
          <w:rFonts w:hint="eastAsia" w:ascii="仿宋_GB2312" w:hAnsi="ˎ̥" w:eastAsia="仿宋_GB2312"/>
          <w:b/>
          <w:bCs/>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2.74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0.34</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9" w:name="_Toc21701_WPSOffice_Level2"/>
      <w:bookmarkStart w:id="90" w:name="_Toc15415_WPSOffice_Level2"/>
      <w:bookmarkStart w:id="91" w:name="_Toc22318_WPSOffice_Level2"/>
      <w:bookmarkStart w:id="92" w:name="_Toc25136_WPSOffice_Level2"/>
      <w:bookmarkStart w:id="93" w:name="_Toc29364_WPSOffice_Level2"/>
      <w:bookmarkStart w:id="94" w:name="_Toc9502_WPSOffice_Level2"/>
      <w:r>
        <w:rPr>
          <w:rFonts w:hint="eastAsia" w:ascii="楷体" w:hAnsi="楷体" w:eastAsia="楷体" w:cs="楷体"/>
          <w:color w:val="000000" w:themeColor="text1"/>
          <w:sz w:val="32"/>
          <w:szCs w:val="32"/>
          <w14:textFill>
            <w14:solidFill>
              <w14:schemeClr w14:val="tx1"/>
            </w14:solidFill>
          </w14:textFill>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796.15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s="Times New Roman"/>
          <w:b/>
          <w:color w:val="000000" w:themeColor="text1"/>
          <w:sz w:val="32"/>
          <w:szCs w:val="32"/>
          <w14:textFill>
            <w14:solidFill>
              <w14:schemeClr w14:val="tx1"/>
            </w14:solidFill>
          </w14:textFill>
        </w:rPr>
        <w:t>市场监督管理事务</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款</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行政运行（</w:t>
      </w:r>
      <w:r>
        <w:rPr>
          <w:rFonts w:hint="eastAsia" w:ascii="仿宋_GB2312" w:hAnsi="ˎ̥" w:eastAsia="仿宋_GB2312"/>
          <w:b/>
          <w:color w:val="000000" w:themeColor="text1"/>
          <w:sz w:val="32"/>
          <w:szCs w:val="32"/>
          <w:lang w:eastAsia="zh-CN"/>
          <w14:textFill>
            <w14:solidFill>
              <w14:schemeClr w14:val="tx1"/>
            </w14:solidFill>
          </w14:textFill>
        </w:rPr>
        <w:t>项</w:t>
      </w:r>
      <w:r>
        <w:rPr>
          <w:rFonts w:hint="eastAsia" w:ascii="仿宋_GB2312" w:hAnsi="ˎ̥" w:eastAsia="仿宋_GB2312"/>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256.07</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256.07</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2.</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s="Times New Roman"/>
          <w:b/>
          <w:color w:val="000000" w:themeColor="text1"/>
          <w:sz w:val="32"/>
          <w:szCs w:val="32"/>
          <w14:textFill>
            <w14:solidFill>
              <w14:schemeClr w14:val="tx1"/>
            </w14:solidFill>
          </w14:textFill>
        </w:rPr>
        <w:t>市场监督管理事务</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款</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cs="Times New Roman"/>
          <w:b/>
          <w:color w:val="000000" w:themeColor="text1"/>
          <w:sz w:val="32"/>
          <w:szCs w:val="32"/>
          <w14:textFill>
            <w14:solidFill>
              <w14:schemeClr w14:val="tx1"/>
            </w14:solidFill>
          </w14:textFill>
        </w:rPr>
        <w:t>市场秩序执法（</w:t>
      </w:r>
      <w:r>
        <w:rPr>
          <w:rFonts w:hint="eastAsia" w:ascii="仿宋_GB2312" w:hAnsi="ˎ̥" w:eastAsia="仿宋_GB2312"/>
          <w:b/>
          <w:color w:val="000000" w:themeColor="text1"/>
          <w:sz w:val="32"/>
          <w:szCs w:val="32"/>
          <w:lang w:eastAsia="zh-CN"/>
          <w14:textFill>
            <w14:solidFill>
              <w14:schemeClr w14:val="tx1"/>
            </w14:solidFill>
          </w14:textFill>
        </w:rPr>
        <w:t>项</w:t>
      </w:r>
      <w:r>
        <w:rPr>
          <w:rFonts w:hint="eastAsia" w:ascii="仿宋_GB2312" w:hAnsi="ˎ̥" w:eastAsia="仿宋_GB2312"/>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25.45</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25.45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s="Times New Roman"/>
          <w:b/>
          <w:color w:val="000000" w:themeColor="text1"/>
          <w:sz w:val="32"/>
          <w:szCs w:val="32"/>
          <w14:textFill>
            <w14:solidFill>
              <w14:schemeClr w14:val="tx1"/>
            </w14:solidFill>
          </w14:textFill>
        </w:rPr>
        <w:t>市场监督管理事务</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款</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cs="Times New Roman"/>
          <w:b/>
          <w:color w:val="000000" w:themeColor="text1"/>
          <w:sz w:val="32"/>
          <w:szCs w:val="32"/>
          <w14:textFill>
            <w14:solidFill>
              <w14:schemeClr w14:val="tx1"/>
            </w14:solidFill>
          </w14:textFill>
        </w:rPr>
        <w:t>质量安全监管（</w:t>
      </w:r>
      <w:r>
        <w:rPr>
          <w:rFonts w:hint="eastAsia" w:ascii="仿宋_GB2312" w:hAnsi="ˎ̥" w:eastAsia="仿宋_GB2312"/>
          <w:b/>
          <w:color w:val="000000" w:themeColor="text1"/>
          <w:sz w:val="32"/>
          <w:szCs w:val="32"/>
          <w:lang w:eastAsia="zh-CN"/>
          <w14:textFill>
            <w14:solidFill>
              <w14:schemeClr w14:val="tx1"/>
            </w14:solidFill>
          </w14:textFill>
        </w:rPr>
        <w:t>项</w:t>
      </w:r>
      <w:r>
        <w:rPr>
          <w:rFonts w:hint="eastAsia" w:ascii="仿宋_GB2312" w:hAnsi="ˎ̥" w:eastAsia="仿宋_GB2312"/>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8.98</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8.98</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s="Times New Roman"/>
          <w:b/>
          <w:color w:val="000000" w:themeColor="text1"/>
          <w:sz w:val="32"/>
          <w:szCs w:val="32"/>
          <w14:textFill>
            <w14:solidFill>
              <w14:schemeClr w14:val="tx1"/>
            </w14:solidFill>
          </w14:textFill>
        </w:rPr>
        <w:t>市场监督管理事务</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款</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cs="Times New Roman"/>
          <w:b/>
          <w:color w:val="000000" w:themeColor="text1"/>
          <w:sz w:val="32"/>
          <w:szCs w:val="32"/>
          <w14:textFill>
            <w14:solidFill>
              <w14:schemeClr w14:val="tx1"/>
            </w14:solidFill>
          </w14:textFill>
        </w:rPr>
        <w:t>食品安全监管（</w:t>
      </w:r>
      <w:r>
        <w:rPr>
          <w:rFonts w:hint="eastAsia" w:ascii="仿宋_GB2312" w:hAnsi="ˎ̥" w:eastAsia="仿宋_GB2312"/>
          <w:b/>
          <w:color w:val="000000" w:themeColor="text1"/>
          <w:sz w:val="32"/>
          <w:szCs w:val="32"/>
          <w:lang w:eastAsia="zh-CN"/>
          <w14:textFill>
            <w14:solidFill>
              <w14:schemeClr w14:val="tx1"/>
            </w14:solidFill>
          </w14:textFill>
        </w:rPr>
        <w:t>项</w:t>
      </w:r>
      <w:r>
        <w:rPr>
          <w:rFonts w:hint="eastAsia" w:ascii="仿宋_GB2312" w:hAnsi="ˎ̥" w:eastAsia="仿宋_GB2312"/>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300.77</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300.77</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2"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s="Times New Roman"/>
          <w:b/>
          <w:color w:val="000000" w:themeColor="text1"/>
          <w:sz w:val="32"/>
          <w:szCs w:val="32"/>
          <w14:textFill>
            <w14:solidFill>
              <w14:schemeClr w14:val="tx1"/>
            </w14:solidFill>
          </w14:textFill>
        </w:rPr>
        <w:t>市场监督管理事务</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款</w:t>
      </w:r>
      <w:r>
        <w:rPr>
          <w:rFonts w:hint="eastAsia" w:ascii="仿宋_GB2312" w:hAnsi="ˎ̥" w:eastAsia="仿宋_GB2312" w:cs="Times New Roman"/>
          <w:b/>
          <w:color w:val="000000" w:themeColor="text1"/>
          <w:sz w:val="32"/>
          <w:szCs w:val="32"/>
          <w:lang w:eastAsia="zh-CN"/>
          <w14:textFill>
            <w14:solidFill>
              <w14:schemeClr w14:val="tx1"/>
            </w14:solidFill>
          </w14:textFill>
        </w:rPr>
        <w:t>）</w:t>
      </w:r>
      <w:r>
        <w:rPr>
          <w:rFonts w:hint="eastAsia" w:ascii="仿宋_GB2312" w:hAnsi="ˎ̥" w:eastAsia="仿宋_GB2312" w:cs="Times New Roman"/>
          <w:b/>
          <w:color w:val="000000" w:themeColor="text1"/>
          <w:sz w:val="32"/>
          <w:szCs w:val="32"/>
          <w14:textFill>
            <w14:solidFill>
              <w14:schemeClr w14:val="tx1"/>
            </w14:solidFill>
          </w14:textFill>
        </w:rPr>
        <w:t>其他市场监督管理事务（</w:t>
      </w:r>
      <w:r>
        <w:rPr>
          <w:rFonts w:hint="eastAsia" w:ascii="仿宋_GB2312" w:hAnsi="ˎ̥" w:eastAsia="仿宋_GB2312"/>
          <w:b/>
          <w:color w:val="000000" w:themeColor="text1"/>
          <w:sz w:val="32"/>
          <w:szCs w:val="32"/>
          <w:lang w:eastAsia="zh-CN"/>
          <w14:textFill>
            <w14:solidFill>
              <w14:schemeClr w14:val="tx1"/>
            </w14:solidFill>
          </w14:textFill>
        </w:rPr>
        <w:t>项</w:t>
      </w:r>
      <w:r>
        <w:rPr>
          <w:rFonts w:hint="eastAsia" w:ascii="仿宋_GB2312" w:hAnsi="ˎ̥" w:eastAsia="仿宋_GB2312"/>
          <w:b/>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101.84</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101.84</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_GB2312" w:hAnsi="ˎ̥" w:eastAsia="仿宋_GB2312" w:cs="Times New Roman"/>
          <w:b/>
          <w:color w:val="000000" w:themeColor="text1"/>
          <w:sz w:val="32"/>
          <w:szCs w:val="32"/>
          <w:lang w:val="en-US" w:eastAsia="zh-CN"/>
          <w14:textFill>
            <w14:solidFill>
              <w14:schemeClr w14:val="tx1"/>
            </w14:solidFill>
          </w14:textFill>
        </w:rPr>
        <w:t>6.</w:t>
      </w:r>
      <w:r>
        <w:rPr>
          <w:rFonts w:hint="eastAsia" w:ascii="仿宋_GB2312" w:hAnsi="ˎ̥" w:eastAsia="仿宋_GB2312" w:cs="Times New Roman"/>
          <w:b/>
          <w:color w:val="000000" w:themeColor="text1"/>
          <w:sz w:val="32"/>
          <w:szCs w:val="32"/>
          <w14:textFill>
            <w14:solidFill>
              <w14:schemeClr w14:val="tx1"/>
            </w14:solidFill>
          </w14:textFill>
        </w:rPr>
        <w:t>社会保障和就业</w:t>
      </w:r>
      <w:r>
        <w:rPr>
          <w:rFonts w:hint="eastAsia" w:ascii="仿宋_GB2312" w:hAnsi="ˎ̥" w:eastAsia="仿宋_GB2312"/>
          <w:b/>
          <w:color w:val="000000" w:themeColor="text1"/>
          <w:sz w:val="32"/>
          <w:szCs w:val="32"/>
          <w14:textFill>
            <w14:solidFill>
              <w14:schemeClr w14:val="tx1"/>
            </w14:solidFill>
          </w14:textFill>
        </w:rPr>
        <w:t>（类）</w:t>
      </w:r>
      <w:r>
        <w:rPr>
          <w:rFonts w:hint="eastAsia" w:ascii="仿宋" w:hAnsi="仿宋" w:eastAsia="仿宋"/>
          <w:b/>
          <w:color w:val="000000" w:themeColor="text1"/>
          <w:sz w:val="32"/>
          <w:szCs w:val="32"/>
          <w:highlight w:val="none"/>
          <w14:textFill>
            <w14:solidFill>
              <w14:schemeClr w14:val="tx1"/>
            </w14:solidFill>
          </w14:textFill>
        </w:rPr>
        <w:t>行政事业单位养老（款）机关事业单位基本养老保险缴费支出（项）</w:t>
      </w:r>
      <w:r>
        <w:rPr>
          <w:rFonts w:hint="eastAsia" w:ascii="仿宋" w:hAnsi="仿宋" w:eastAsia="仿宋"/>
          <w:b/>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37.99</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37.99</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_GB2312" w:hAnsi="ˎ̥" w:eastAsia="仿宋_GB2312" w:cs="Times New Roman"/>
          <w:b/>
          <w:color w:val="000000" w:themeColor="text1"/>
          <w:sz w:val="32"/>
          <w:szCs w:val="32"/>
          <w:lang w:val="en-US" w:eastAsia="zh-CN"/>
          <w14:textFill>
            <w14:solidFill>
              <w14:schemeClr w14:val="tx1"/>
            </w14:solidFill>
          </w14:textFill>
        </w:rPr>
        <w:t>7.</w:t>
      </w:r>
      <w:r>
        <w:rPr>
          <w:rFonts w:hint="eastAsia" w:ascii="仿宋_GB2312" w:hAnsi="ˎ̥" w:eastAsia="仿宋_GB2312" w:cs="Times New Roman"/>
          <w:b/>
          <w:color w:val="000000" w:themeColor="text1"/>
          <w:sz w:val="32"/>
          <w:szCs w:val="32"/>
          <w14:textFill>
            <w14:solidFill>
              <w14:schemeClr w14:val="tx1"/>
            </w14:solidFill>
          </w14:textFill>
        </w:rPr>
        <w:t>卫生健康支出（类）</w:t>
      </w:r>
      <w:r>
        <w:rPr>
          <w:rFonts w:hint="eastAsia" w:ascii="仿宋" w:hAnsi="仿宋" w:eastAsia="仿宋"/>
          <w:b/>
          <w:color w:val="000000" w:themeColor="text1"/>
          <w:sz w:val="32"/>
          <w:szCs w:val="32"/>
          <w:highlight w:val="none"/>
          <w14:textFill>
            <w14:solidFill>
              <w14:schemeClr w14:val="tx1"/>
            </w14:solidFill>
          </w14:textFill>
        </w:rPr>
        <w:t>行政事业单位医疗（款）行政单位医疗（项）</w:t>
      </w:r>
      <w:r>
        <w:rPr>
          <w:rFonts w:hint="eastAsia" w:ascii="仿宋" w:hAnsi="仿宋" w:eastAsia="仿宋"/>
          <w:b/>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18.28</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18.28</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2" w:firstLineChars="200"/>
        <w:textAlignment w:val="auto"/>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卫生健康（类</w:t>
      </w:r>
      <w:r>
        <w:rPr>
          <w:rFonts w:hint="eastAsia" w:ascii="仿宋" w:hAnsi="仿宋" w:eastAsia="仿宋"/>
          <w:b/>
          <w:color w:val="000000" w:themeColor="text1"/>
          <w:sz w:val="32"/>
          <w:szCs w:val="32"/>
          <w:highlight w:val="none"/>
          <w:lang w:eastAsia="zh-CN"/>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行政事业单位医疗（款）公务员医疗补助（项）</w:t>
      </w:r>
      <w:r>
        <w:rPr>
          <w:rFonts w:hint="eastAsia" w:ascii="仿宋" w:hAnsi="仿宋" w:eastAsia="仿宋"/>
          <w:b/>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4.75</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4.75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highlight w:val="none"/>
          <w:lang w:val="en-US" w:eastAsia="zh-CN"/>
          <w14:textFill>
            <w14:solidFill>
              <w14:schemeClr w14:val="tx1"/>
            </w14:solidFill>
          </w14:textFill>
        </w:rPr>
        <w:t>9.</w:t>
      </w:r>
      <w:r>
        <w:rPr>
          <w:rFonts w:hint="eastAsia" w:ascii="仿宋" w:hAnsi="仿宋" w:eastAsia="仿宋" w:cs="Times New Roman"/>
          <w:b/>
          <w:color w:val="000000" w:themeColor="text1"/>
          <w:sz w:val="32"/>
          <w:szCs w:val="32"/>
          <w:highlight w:val="none"/>
          <w14:textFill>
            <w14:solidFill>
              <w14:schemeClr w14:val="tx1"/>
            </w14:solidFill>
          </w14:textFill>
        </w:rPr>
        <w:t>城乡社区支出（类）城乡社区环境卫生（款）城乡社区环境卫生（项）</w:t>
      </w:r>
      <w:r>
        <w:rPr>
          <w:rFonts w:hint="eastAsia" w:ascii="仿宋" w:hAnsi="仿宋" w:eastAsia="仿宋" w:cs="Times New Roman"/>
          <w:b/>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2.74</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2.74</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10.</w:t>
      </w:r>
      <w:r>
        <w:rPr>
          <w:rFonts w:hint="eastAsia" w:ascii="仿宋" w:hAnsi="仿宋" w:eastAsia="仿宋"/>
          <w:b/>
          <w:color w:val="000000" w:themeColor="text1"/>
          <w:sz w:val="32"/>
          <w:szCs w:val="32"/>
          <w:highlight w:val="none"/>
          <w14:textFill>
            <w14:solidFill>
              <w14:schemeClr w14:val="tx1"/>
            </w14:solidFill>
          </w14:textFill>
        </w:rPr>
        <w:t>住房保障（类）住房改革（款）住房公积金（项）</w:t>
      </w:r>
      <w:r>
        <w:rPr>
          <w:rFonts w:hint="eastAsia" w:ascii="仿宋" w:hAnsi="仿宋" w:eastAsia="仿宋"/>
          <w:b/>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28.49</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28.49</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11.</w:t>
      </w:r>
      <w:r>
        <w:rPr>
          <w:rFonts w:hint="eastAsia" w:ascii="仿宋" w:hAnsi="仿宋" w:eastAsia="仿宋"/>
          <w:b/>
          <w:color w:val="000000" w:themeColor="text1"/>
          <w:sz w:val="32"/>
          <w:szCs w:val="32"/>
          <w:highlight w:val="none"/>
          <w:lang w:val="en-US" w:eastAsia="zh-CN"/>
          <w14:textFill>
            <w14:solidFill>
              <w14:schemeClr w14:val="tx1"/>
            </w14:solidFill>
          </w14:textFill>
        </w:rPr>
        <w:t>住房保障（类）住房改革（款）购房补贴（项）。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s="Times New Roman"/>
          <w:color w:val="000000" w:themeColor="text1"/>
          <w:sz w:val="32"/>
          <w:szCs w:val="32"/>
          <w14:textFill>
            <w14:solidFill>
              <w14:schemeClr w14:val="tx1"/>
            </w14:solidFill>
          </w14:textFill>
        </w:rPr>
        <w:t>10.80</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s="Times New Roman"/>
          <w:color w:val="000000" w:themeColor="text1"/>
          <w:sz w:val="32"/>
          <w:szCs w:val="32"/>
          <w14:textFill>
            <w14:solidFill>
              <w14:schemeClr w14:val="tx1"/>
            </w14:solidFill>
          </w14:textFill>
        </w:rPr>
        <w:t>10.80</w:t>
      </w:r>
      <w:r>
        <w:rPr>
          <w:rFonts w:hint="eastAsia" w:ascii="仿宋_GB2312" w:hAnsi="ˎ̥" w:eastAsia="仿宋_GB2312"/>
          <w:color w:val="000000" w:themeColor="text1"/>
          <w:sz w:val="32"/>
          <w:szCs w:val="32"/>
          <w:lang w:val="en-US" w:eastAsia="zh-CN"/>
          <w14:textFill>
            <w14:solidFill>
              <w14:schemeClr w14:val="tx1"/>
            </w14:solidFill>
          </w14:textFill>
        </w:rPr>
        <w:t>万元，完成年初预算的100%。</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353.69</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335.63</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万元，主要包括：工资福利支出中的基本工资、津贴补贴、奖金、机关事业单位基本养老保险缴费、职工基本医疗保险缴费、公务员医疗补助缴费、其他社会保障缴费、住房公积金、其他工资福利支出。公用经费</w:t>
      </w:r>
      <w:r>
        <w:rPr>
          <w:rFonts w:ascii="仿宋_GB2312" w:hAnsi="ˎ̥" w:eastAsia="仿宋_GB2312"/>
          <w:color w:val="000000" w:themeColor="text1"/>
          <w:sz w:val="32"/>
          <w:szCs w:val="32"/>
          <w:lang w:val="en-US"/>
          <w14:textFill>
            <w14:solidFill>
              <w14:schemeClr w14:val="tx1"/>
            </w14:solidFill>
          </w14:textFill>
        </w:rPr>
        <w:t>18.06</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万元，主要包括：商品和服务支出中的办公费、印刷费、邮电费、差旅费、培训费、工会经费、公务用车运行维护费、其他商品和服务支出</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政府性基金预算财政拨款支出。与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无变化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eastAsia="zh-CN"/>
          <w14:textFill>
            <w14:solidFill>
              <w14:schemeClr w14:val="tx1"/>
            </w14:solidFill>
          </w14:textFill>
        </w:rPr>
        <w:t>无</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国有资本经营预算财政拨款支出。与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无变化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楷体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楷体" w:hAnsi="楷体" w:eastAsia="楷体" w:cs="楷体"/>
          <w:b/>
          <w:bCs/>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3.47</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3.47</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“三公”经费支出增加</w:t>
      </w:r>
      <w:r>
        <w:rPr>
          <w:rFonts w:hint="eastAsia" w:ascii="仿宋_GB2312" w:hAnsi="ˎ̥" w:eastAsia="仿宋_GB2312"/>
          <w:color w:val="000000" w:themeColor="text1"/>
          <w:sz w:val="32"/>
          <w:szCs w:val="32"/>
          <w:lang w:val="en-US" w:eastAsia="zh-CN"/>
          <w14:textFill>
            <w14:solidFill>
              <w14:schemeClr w14:val="tx1"/>
            </w14:solidFill>
          </w14:textFill>
        </w:rPr>
        <w:t>0.16</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4.83</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2024年围绕食品药品安全、特种设备排查等重点工作，下乡实地检查频次合理增加，导致公务车辆使用需求相应上升。</w:t>
      </w:r>
      <w:r>
        <w:rPr>
          <w:rFonts w:hint="eastAsia" w:ascii="楷体" w:hAnsi="楷体" w:eastAsia="楷体" w:cs="楷体"/>
          <w:b/>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3.47</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因公出国（境）经费支出</w:t>
      </w:r>
      <w:r>
        <w:rPr>
          <w:rFonts w:hint="eastAsia" w:ascii="仿宋_GB2312" w:hAnsi="ˎ̥" w:eastAsia="仿宋_GB2312"/>
          <w:color w:val="000000" w:themeColor="text1"/>
          <w:sz w:val="32"/>
          <w:szCs w:val="32"/>
          <w:lang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因公出国（境）经费支出</w:t>
      </w:r>
      <w:r>
        <w:rPr>
          <w:rFonts w:hint="eastAsia" w:ascii="仿宋_GB2312" w:hAnsi="ˎ̥" w:eastAsia="仿宋_GB2312"/>
          <w:color w:val="000000" w:themeColor="text1"/>
          <w:sz w:val="32"/>
          <w:szCs w:val="32"/>
          <w:lang w:val="en-US" w:eastAsia="zh-CN"/>
          <w14:textFill>
            <w14:solidFill>
              <w14:schemeClr w14:val="tx1"/>
            </w14:solidFill>
          </w14:textFill>
        </w:rPr>
        <w:t>无变化。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3.47</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3.47</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eastAsia="zh-CN"/>
          <w14:textFill>
            <w14:solidFill>
              <w14:schemeClr w14:val="tx1"/>
            </w14:solidFill>
          </w14:textFill>
        </w:rPr>
        <w:t>公务用车维护费及燃油费</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w:t>
      </w:r>
      <w:r>
        <w:rPr>
          <w:rFonts w:hint="eastAsia" w:ascii="仿宋_GB2312" w:hAnsi="ˎ̥" w:eastAsia="仿宋_GB2312"/>
          <w:color w:val="000000" w:themeColor="text1"/>
          <w:sz w:val="32"/>
          <w:szCs w:val="32"/>
          <w:lang w:eastAsia="zh-CN"/>
          <w14:textFill>
            <w14:solidFill>
              <w14:schemeClr w14:val="tx1"/>
            </w14:solidFill>
          </w14:textFill>
        </w:rPr>
        <w:t>为</w:t>
      </w:r>
      <w:r>
        <w:rPr>
          <w:rFonts w:hint="eastAsia" w:ascii="仿宋_GB2312" w:hAnsi="ˎ̥" w:eastAsia="仿宋_GB2312"/>
          <w:color w:val="000000" w:themeColor="text1"/>
          <w:sz w:val="32"/>
          <w:szCs w:val="32"/>
          <w:lang w:val="en-US" w:eastAsia="zh-CN"/>
          <w14:textFill>
            <w14:solidFill>
              <w14:schemeClr w14:val="tx1"/>
            </w14:solidFill>
          </w14:textFill>
        </w:rPr>
        <w:t>3.47</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0.16</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lang w:val="en-US" w:eastAsia="zh-CN"/>
          <w14:textFill>
            <w14:solidFill>
              <w14:schemeClr w14:val="tx1"/>
            </w14:solidFill>
          </w14:textFill>
        </w:rPr>
        <w:t>4.83</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2024年围绕食品药品安全、特种设备排查等重点工作，下乡实地检查频次合理增加，导致公务车辆使用需求相应上升。</w:t>
      </w:r>
      <w:r>
        <w:rPr>
          <w:rFonts w:hint="eastAsia" w:ascii="楷体" w:hAnsi="楷体" w:eastAsia="楷体" w:cs="楷体"/>
          <w:b/>
          <w:bCs/>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公务接待费经费支出</w:t>
      </w:r>
      <w:r>
        <w:rPr>
          <w:rFonts w:hint="eastAsia" w:ascii="仿宋_GB2312" w:hAnsi="ˎ̥" w:eastAsia="仿宋_GB2312"/>
          <w:color w:val="000000" w:themeColor="text1"/>
          <w:sz w:val="32"/>
          <w:szCs w:val="32"/>
          <w:lang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公务接待费经费支出</w:t>
      </w:r>
      <w:r>
        <w:rPr>
          <w:rFonts w:hint="eastAsia" w:ascii="仿宋_GB2312" w:hAnsi="ˎ̥" w:eastAsia="仿宋_GB2312"/>
          <w:color w:val="000000" w:themeColor="text1"/>
          <w:sz w:val="32"/>
          <w:szCs w:val="32"/>
          <w:lang w:val="en-US" w:eastAsia="zh-CN"/>
          <w14:textFill>
            <w14:solidFill>
              <w14:schemeClr w14:val="tx1"/>
            </w14:solidFill>
          </w14:textFill>
        </w:rPr>
        <w:t>无变化。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十、预算绩效情况说明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2024年度无重点项目。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95" w:name="_Toc23598_WPSOffice_Level2"/>
      <w:bookmarkStart w:id="96" w:name="_Toc15262_WPSOffice_Level2"/>
      <w:bookmarkStart w:id="97" w:name="_Toc15565_WPSOffice_Level2"/>
      <w:bookmarkStart w:id="98" w:name="_Toc32639_WPSOffice_Level2"/>
      <w:bookmarkStart w:id="99" w:name="_Toc5978_WPSOffice_Level2"/>
      <w:bookmarkStart w:id="100" w:name="_Toc18325_WPSOffice_Level2"/>
      <w:r>
        <w:rPr>
          <w:rFonts w:hint="eastAsia" w:ascii="楷体" w:hAnsi="楷体" w:eastAsia="楷体" w:cs="楷体"/>
          <w:bCs/>
          <w:color w:val="000000" w:themeColor="text1"/>
          <w:sz w:val="32"/>
          <w:szCs w:val="32"/>
          <w14:textFill>
            <w14:solidFill>
              <w14:schemeClr w14:val="tx1"/>
            </w14:solidFill>
          </w14:textFill>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eastAsia="zh-CN"/>
          <w14:textFill>
            <w14:solidFill>
              <w14:schemeClr w14:val="tx1"/>
            </w14:solidFill>
          </w14:textFill>
        </w:rPr>
        <w:t>本</w:t>
      </w:r>
      <w:r>
        <w:rPr>
          <w:rFonts w:hint="eastAsia" w:ascii="仿宋_GB2312" w:hAnsi="ˎ̥" w:eastAsia="仿宋_GB2312"/>
          <w:color w:val="000000" w:themeColor="text1"/>
          <w:sz w:val="32"/>
          <w:szCs w:val="32"/>
          <w14:textFill>
            <w14:solidFill>
              <w14:schemeClr w14:val="tx1"/>
            </w14:solidFill>
          </w14:textFill>
        </w:rPr>
        <w:t>单位机关运行经费</w:t>
      </w:r>
      <w:r>
        <w:rPr>
          <w:rFonts w:hint="eastAsia" w:ascii="仿宋_GB2312" w:hAnsi="ˎ̥" w:eastAsia="仿宋_GB2312"/>
          <w:color w:val="000000" w:themeColor="text1"/>
          <w:sz w:val="32"/>
          <w:szCs w:val="32"/>
          <w:lang w:val="en-US" w:eastAsia="zh-CN"/>
          <w14:textFill>
            <w14:solidFill>
              <w14:schemeClr w14:val="tx1"/>
            </w14:solidFill>
          </w14:textFill>
        </w:rPr>
        <w:t>18.06</w:t>
      </w:r>
      <w:r>
        <w:rPr>
          <w:rFonts w:hint="eastAsia" w:ascii="仿宋_GB2312" w:hAnsi="ˎ̥" w:eastAsia="仿宋_GB2312"/>
          <w:color w:val="000000" w:themeColor="text1"/>
          <w:sz w:val="32"/>
          <w:szCs w:val="32"/>
          <w14:textFill>
            <w14:solidFill>
              <w14:schemeClr w14:val="tx1"/>
            </w14:solidFill>
          </w14:textFill>
        </w:rPr>
        <w:t>万元，比年初预算减少</w:t>
      </w:r>
      <w:r>
        <w:rPr>
          <w:rFonts w:hint="eastAsia" w:ascii="仿宋_GB2312" w:hAnsi="ˎ̥" w:eastAsia="仿宋_GB2312"/>
          <w:color w:val="000000" w:themeColor="text1"/>
          <w:sz w:val="32"/>
          <w:szCs w:val="32"/>
          <w:lang w:val="en-US" w:eastAsia="zh-CN"/>
          <w14:textFill>
            <w14:solidFill>
              <w14:schemeClr w14:val="tx1"/>
            </w14:solidFill>
          </w14:textFill>
        </w:rPr>
        <w:t>1.18</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完成预算的93.87</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与2023年度相比，机关运行经费</w:t>
      </w:r>
      <w:r>
        <w:rPr>
          <w:rFonts w:hint="eastAsia" w:ascii="仿宋_GB2312" w:hAnsi="ˎ̥" w:eastAsia="仿宋_GB2312"/>
          <w:color w:val="000000" w:themeColor="text1"/>
          <w:sz w:val="32"/>
          <w:szCs w:val="32"/>
          <w14:textFill>
            <w14:solidFill>
              <w14:schemeClr w14:val="tx1"/>
            </w14:solidFill>
          </w14:textFill>
        </w:rPr>
        <w:t>增加</w:t>
      </w:r>
      <w:r>
        <w:rPr>
          <w:rFonts w:hint="eastAsia" w:ascii="仿宋_GB2312" w:hAnsi="ˎ̥" w:eastAsia="仿宋_GB2312"/>
          <w:color w:val="000000" w:themeColor="text1"/>
          <w:sz w:val="32"/>
          <w:szCs w:val="32"/>
          <w:lang w:val="en-US" w:eastAsia="zh-CN"/>
          <w14:textFill>
            <w14:solidFill>
              <w14:schemeClr w14:val="tx1"/>
            </w14:solidFill>
          </w14:textFill>
        </w:rPr>
        <w:t>5.05</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增长38.82%。</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bidi="ar"/>
          <w14:textFill>
            <w14:solidFill>
              <w14:schemeClr w14:val="tx1"/>
            </w14:solidFill>
          </w14:textFill>
        </w:rPr>
        <w:t>办公设施设备购置经费增加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01" w:name="_Toc3131_WPSOffice_Level2"/>
      <w:bookmarkStart w:id="102" w:name="_Toc30383_WPSOffice_Level2"/>
      <w:bookmarkStart w:id="103" w:name="_Toc25333_WPSOffice_Level2"/>
      <w:bookmarkStart w:id="104" w:name="_Toc23966_WPSOffice_Level2"/>
      <w:bookmarkStart w:id="105" w:name="_Toc32689_WPSOffice_Level2"/>
      <w:bookmarkStart w:id="106" w:name="_Toc13084_WPSOffice_Level2"/>
      <w:r>
        <w:rPr>
          <w:rFonts w:hint="eastAsia" w:ascii="楷体" w:hAnsi="楷体" w:eastAsia="楷体" w:cs="楷体"/>
          <w:bCs/>
          <w:color w:val="000000" w:themeColor="text1"/>
          <w:sz w:val="32"/>
          <w:szCs w:val="32"/>
          <w14:textFill>
            <w14:solidFill>
              <w14:schemeClr w14:val="tx1"/>
            </w14:solidFill>
          </w14:textFill>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ˎ̥" w:eastAsia="仿宋_GB2312"/>
          <w:color w:val="000000" w:themeColor="text1"/>
          <w:sz w:val="32"/>
          <w:szCs w:val="32"/>
          <w14:textFill>
            <w14:solidFill>
              <w14:schemeClr w14:val="tx1"/>
            </w14:solidFill>
          </w14:textFill>
        </w:rPr>
      </w:pPr>
      <w:bookmarkStart w:id="107" w:name="_Toc19989_WPSOffice_Level2"/>
      <w:bookmarkStart w:id="108" w:name="_Toc29584_WPSOffice_Level2"/>
      <w:bookmarkStart w:id="109" w:name="_Toc527_WPSOffice_Level2"/>
      <w:bookmarkStart w:id="110" w:name="_Toc15129_WPSOffice_Level2"/>
      <w:bookmarkStart w:id="111" w:name="_Toc10902_WPSOffice_Level2"/>
      <w:bookmarkStart w:id="112" w:name="_Toc6016_WPSOffice_Level2"/>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墨脱县市场监督管理局无</w:t>
      </w:r>
      <w:r>
        <w:rPr>
          <w:rFonts w:hint="eastAsia" w:ascii="仿宋_GB2312" w:hAnsi="ˎ̥" w:eastAsia="仿宋_GB2312"/>
          <w:color w:val="000000" w:themeColor="text1"/>
          <w:sz w:val="32"/>
          <w:szCs w:val="32"/>
          <w14:textFill>
            <w14:solidFill>
              <w14:schemeClr w14:val="tx1"/>
            </w14:solidFill>
          </w14:textFill>
        </w:rPr>
        <w:t>政府采购支出。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截至</w:t>
      </w:r>
      <w:r>
        <w:rPr>
          <w:rFonts w:hint="default" w:ascii="仿宋_GB2312" w:hAnsi="ˎ̥" w:eastAsia="仿宋_GB2312"/>
          <w:bCs/>
          <w:color w:val="000000" w:themeColor="text1"/>
          <w:sz w:val="32"/>
          <w:szCs w:val="32"/>
          <w:lang w:val="en-US"/>
          <w14:textFill>
            <w14:solidFill>
              <w14:schemeClr w14:val="tx1"/>
            </w14:solidFill>
          </w14:textFill>
        </w:rPr>
        <w:t>2024</w:t>
      </w:r>
      <w:r>
        <w:rPr>
          <w:rFonts w:hint="eastAsia" w:ascii="仿宋_GB2312" w:hAnsi="ˎ̥" w:eastAsia="仿宋_GB2312"/>
          <w:bCs/>
          <w:color w:val="000000" w:themeColor="text1"/>
          <w:sz w:val="32"/>
          <w:szCs w:val="32"/>
          <w14:textFill>
            <w14:solidFill>
              <w14:schemeClr w14:val="tx1"/>
            </w14:solidFill>
          </w14:textFill>
        </w:rPr>
        <w:t>年12月31日，本部门拥有</w:t>
      </w:r>
      <w:r>
        <w:rPr>
          <w:rFonts w:hint="eastAsia" w:ascii="仿宋_GB2312" w:hAnsi="ˎ̥" w:eastAsia="仿宋_GB2312"/>
          <w:color w:val="000000" w:themeColor="text1"/>
          <w:sz w:val="32"/>
          <w:szCs w:val="32"/>
          <w14:textFill>
            <w14:solidFill>
              <w14:schemeClr w14:val="tx1"/>
            </w14:solidFill>
          </w14:textFill>
        </w:rPr>
        <w:t>房屋面积</w:t>
      </w:r>
      <w:r>
        <w:rPr>
          <w:rFonts w:hint="default" w:ascii="仿宋_GB2312" w:hAnsi="ˎ̥" w:eastAsia="仿宋_GB2312"/>
          <w:color w:val="000000" w:themeColor="text1"/>
          <w:sz w:val="32"/>
          <w:szCs w:val="32"/>
          <w:lang w:val="en" w:eastAsia="zh-CN"/>
          <w14:textFill>
            <w14:solidFill>
              <w14:schemeClr w14:val="tx1"/>
            </w14:solidFill>
          </w14:textFill>
        </w:rPr>
        <w:t>158.51</w:t>
      </w:r>
      <w:bookmarkStart w:id="119" w:name="_GoBack"/>
      <w:bookmarkEnd w:id="119"/>
      <w:r>
        <w:rPr>
          <w:rFonts w:hint="eastAsia" w:ascii="仿宋_GB2312" w:hAnsi="ˎ̥" w:eastAsia="仿宋_GB2312"/>
          <w:color w:val="000000" w:themeColor="text1"/>
          <w:sz w:val="32"/>
          <w:szCs w:val="32"/>
          <w14:textFill>
            <w14:solidFill>
              <w14:schemeClr w14:val="tx1"/>
            </w14:solidFill>
          </w14:textFill>
        </w:rPr>
        <w:t>平方米</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ˎ̥" w:eastAsia="黑体"/>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本部门共有车辆</w:t>
      </w:r>
      <w:r>
        <w:rPr>
          <w:rFonts w:hint="eastAsia" w:ascii="仿宋_GB2312" w:hAnsi="ˎ̥" w:eastAsia="仿宋_GB2312"/>
          <w:color w:val="000000" w:themeColor="text1"/>
          <w:sz w:val="32"/>
          <w:szCs w:val="32"/>
          <w:lang w:val="en-US" w:eastAsia="zh-CN"/>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辆，其中，执法执勤用车</w:t>
      </w:r>
      <w:r>
        <w:rPr>
          <w:rFonts w:hint="eastAsia" w:ascii="仿宋_GB2312" w:hAnsi="ˎ̥" w:eastAsia="仿宋_GB2312"/>
          <w:color w:val="000000" w:themeColor="text1"/>
          <w:sz w:val="32"/>
          <w:szCs w:val="32"/>
          <w:lang w:val="en-US" w:eastAsia="zh-CN"/>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辆。</w:t>
      </w:r>
      <w:r>
        <w:rPr>
          <w:rFonts w:hint="eastAsia" w:ascii="仿宋_GB2312" w:hAnsi="ˎ̥" w:eastAsia="仿宋_GB2312"/>
          <w:color w:val="000000" w:themeColor="text1"/>
          <w:sz w:val="32"/>
          <w:szCs w:val="32"/>
          <w:lang w:val="en-US"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单价100万元（含）以上设备。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7580_WPSOffice_Level1"/>
      <w:bookmarkStart w:id="114" w:name="_Toc8874_WPSOffice_Level1"/>
      <w:bookmarkStart w:id="115" w:name="_Toc8808_WPSOffice_Level1"/>
      <w:bookmarkStart w:id="116" w:name="_Toc11039_WPSOffice_Level1"/>
      <w:bookmarkStart w:id="117" w:name="_Toc15425_WPSOffice_Level1"/>
      <w:bookmarkStart w:id="118" w:name="_Toc439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lang w:eastAsia="zh-CN"/>
        </w:rPr>
        <w:t>1.一般公共服务（类）市场监督管理事务（款）行政运行（项）。</w:t>
      </w:r>
      <w:r>
        <w:rPr>
          <w:rFonts w:hint="eastAsia" w:ascii="仿宋_GB2312" w:hAnsi="ˎ̥" w:eastAsia="仿宋_GB2312"/>
          <w:sz w:val="32"/>
          <w:szCs w:val="32"/>
          <w:lang w:val="en-US" w:eastAsia="zh-CN"/>
        </w:rPr>
        <w:t xml:space="preserve"> </w:t>
      </w:r>
      <w:r>
        <w:rPr>
          <w:rFonts w:hint="eastAsia" w:ascii="仿宋_GB2312" w:hAnsi="ˎ̥" w:eastAsia="仿宋_GB2312"/>
          <w:sz w:val="32"/>
          <w:szCs w:val="32"/>
          <w:lang w:eastAsia="zh-CN"/>
        </w:rPr>
        <w:t>反映市场监督管理局的基本支出；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eastAsia="zh-CN"/>
        </w:rPr>
        <w:t>2.一般公共服务（类）市场监督管理事务（款）市场秩序执法（项）。反映市场监督管理局的基本支出外的市场秩序执法方面的支出；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一般公共服务（类）市场监督管理事务（款）质量安全监管（项）。反映市场监督管理局的基本支出外的质量安全监管方面的支出；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一般公共服务（类）市场监督管理事务（款）食品安全监管（项）。反映市场监督管理局的基本支出外的食品安全监管方面的支出；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5.</w:t>
      </w:r>
      <w:r>
        <w:rPr>
          <w:rFonts w:hint="eastAsia" w:ascii="仿宋_GB2312" w:hAnsi="ˎ̥" w:eastAsia="仿宋_GB2312"/>
          <w:sz w:val="32"/>
          <w:szCs w:val="32"/>
          <w:lang w:eastAsia="zh-CN"/>
        </w:rPr>
        <w:t>一般公共服务（类）市场监督管理事务（款）其他市场监督管理事务（项）。反映市场监督管理局的基本支出外的其他市场监督管理事务方面的支出；</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
          <w:b/>
          <w:color w:val="auto"/>
          <w:sz w:val="32"/>
          <w:szCs w:val="32"/>
          <w:lang w:val="en-US" w:eastAsia="zh-CN"/>
        </w:rPr>
      </w:pPr>
      <w:r>
        <w:rPr>
          <w:rFonts w:hint="eastAsia" w:ascii="仿宋_GB2312" w:hAnsi="ˎ̥" w:eastAsia="仿宋_GB2312"/>
          <w:sz w:val="32"/>
          <w:szCs w:val="32"/>
          <w:lang w:val="en-US" w:eastAsia="zh-CN"/>
        </w:rPr>
        <w:t>6.</w:t>
      </w:r>
      <w:r>
        <w:rPr>
          <w:rFonts w:hint="eastAsia" w:ascii="仿宋_GB2312" w:hAnsi="ˎ̥" w:eastAsia="仿宋_GB2312"/>
          <w:sz w:val="32"/>
          <w:szCs w:val="32"/>
          <w:lang w:eastAsia="zh-CN"/>
        </w:rPr>
        <w:t>社会保障和就业（类）行政事业单位养老（款）机关事业单位基本养老保险缴费支出（项）。反映市场监督管理局实施养老保险制度缴纳的基本养老保险费支出；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7.</w:t>
      </w:r>
      <w:r>
        <w:rPr>
          <w:rFonts w:hint="eastAsia" w:ascii="仿宋_GB2312" w:hAnsi="ˎ̥" w:eastAsia="仿宋_GB2312"/>
          <w:sz w:val="32"/>
          <w:szCs w:val="32"/>
          <w:lang w:eastAsia="zh-CN"/>
        </w:rPr>
        <w:t xml:space="preserve">卫生健康支出（类）行政事业单位医疗（款）行政单位医疗（项）。反映财政部门安排的市场监督管理局基本医疗保险缴费经费；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8.</w:t>
      </w:r>
      <w:r>
        <w:rPr>
          <w:rFonts w:hint="eastAsia" w:ascii="仿宋_GB2312" w:hAnsi="ˎ̥" w:eastAsia="仿宋_GB2312"/>
          <w:sz w:val="32"/>
          <w:szCs w:val="32"/>
          <w:lang w:eastAsia="zh-CN"/>
        </w:rPr>
        <w:t>卫生健康（类）行政事业单位医疗（款）公务员医疗补助（项）。</w:t>
      </w:r>
      <w:r>
        <w:rPr>
          <w:rFonts w:hint="eastAsia" w:ascii="仿宋_GB2312" w:hAnsi="ˎ̥" w:eastAsia="仿宋_GB2312"/>
          <w:sz w:val="32"/>
          <w:szCs w:val="32"/>
          <w:lang w:val="en-US" w:eastAsia="zh-CN"/>
        </w:rPr>
        <w:t>反映财政部门安排的市场监督管理局公务员医疗补助经费；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9.</w:t>
      </w:r>
      <w:r>
        <w:rPr>
          <w:rFonts w:hint="eastAsia" w:ascii="仿宋_GB2312" w:hAnsi="ˎ̥" w:eastAsia="仿宋_GB2312"/>
          <w:sz w:val="32"/>
          <w:szCs w:val="32"/>
          <w:lang w:eastAsia="zh-CN"/>
        </w:rPr>
        <w:t>城乡社区支出（类）城乡社区环境卫生（款）城乡社区环境卫生（项）。反映市场监督管理局城乡社区环境卫生支出；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10.</w:t>
      </w:r>
      <w:r>
        <w:rPr>
          <w:rFonts w:hint="eastAsia" w:ascii="仿宋_GB2312" w:hAnsi="ˎ̥" w:eastAsia="仿宋_GB2312"/>
          <w:sz w:val="32"/>
          <w:szCs w:val="32"/>
          <w:lang w:eastAsia="zh-CN"/>
        </w:rPr>
        <w:t>住房保障（类）住房改革（款）住房公积金（项）。反映市场监督管理局按人力资源和社会保障部、财政部规定的基本工资和津贴补贴以及规定比例为职工缴纳的住房公积金；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11.</w:t>
      </w:r>
      <w:r>
        <w:rPr>
          <w:rFonts w:hint="eastAsia" w:ascii="仿宋_GB2312" w:hAnsi="ˎ̥" w:eastAsia="仿宋_GB2312"/>
          <w:sz w:val="32"/>
          <w:szCs w:val="32"/>
          <w:lang w:eastAsia="zh-CN"/>
        </w:rPr>
        <w:t>住房保障（类）住房改革（款）购房补贴（项）。反映按房改政策规定，向符合条件职工发放的用于购买住房的补贴。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lang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CB9B3919"/>
    <w:multiLevelType w:val="singleLevel"/>
    <w:tmpl w:val="CB9B3919"/>
    <w:lvl w:ilvl="0" w:tentative="0">
      <w:start w:val="8"/>
      <w:numFmt w:val="decimal"/>
      <w:lvlText w:val="%1."/>
      <w:lvlJc w:val="left"/>
      <w:pPr>
        <w:tabs>
          <w:tab w:val="left" w:pos="312"/>
        </w:tabs>
      </w:pPr>
    </w:lvl>
  </w:abstractNum>
  <w:abstractNum w:abstractNumId="2">
    <w:nsid w:val="01164A9A"/>
    <w:multiLevelType w:val="singleLevel"/>
    <w:tmpl w:val="01164A9A"/>
    <w:lvl w:ilvl="0" w:tentative="0">
      <w:start w:val="1"/>
      <w:numFmt w:val="chineseCounting"/>
      <w:suff w:val="nothing"/>
      <w:lvlText w:val="%1、"/>
      <w:lvlJc w:val="left"/>
      <w:rPr>
        <w:rFonts w:hint="eastAsia"/>
      </w:rPr>
    </w:lvl>
  </w:abstractNum>
  <w:abstractNum w:abstractNumId="3">
    <w:nsid w:val="0F5DE5CB"/>
    <w:multiLevelType w:val="singleLevel"/>
    <w:tmpl w:val="0F5DE5CB"/>
    <w:lvl w:ilvl="0" w:tentative="0">
      <w:start w:val="3"/>
      <w:numFmt w:val="decimal"/>
      <w:lvlText w:val="%1."/>
      <w:lvlJc w:val="left"/>
      <w:pPr>
        <w:tabs>
          <w:tab w:val="left" w:pos="312"/>
        </w:tabs>
      </w:p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CCA74C4"/>
    <w:rsid w:val="0EA18935"/>
    <w:rsid w:val="0FC80124"/>
    <w:rsid w:val="136F98C7"/>
    <w:rsid w:val="13AC6D99"/>
    <w:rsid w:val="17427E68"/>
    <w:rsid w:val="1755065F"/>
    <w:rsid w:val="1AFC29C9"/>
    <w:rsid w:val="1CA52F2E"/>
    <w:rsid w:val="1DFE370B"/>
    <w:rsid w:val="1E3630B9"/>
    <w:rsid w:val="26EEC2B5"/>
    <w:rsid w:val="28D76D98"/>
    <w:rsid w:val="29472309"/>
    <w:rsid w:val="29DB425A"/>
    <w:rsid w:val="2B406E77"/>
    <w:rsid w:val="2C2A0C43"/>
    <w:rsid w:val="2D1E73A5"/>
    <w:rsid w:val="32717154"/>
    <w:rsid w:val="34B63260"/>
    <w:rsid w:val="37FDA7E2"/>
    <w:rsid w:val="3A314D88"/>
    <w:rsid w:val="3A746883"/>
    <w:rsid w:val="3CA15DE9"/>
    <w:rsid w:val="3FE61EE5"/>
    <w:rsid w:val="406508EE"/>
    <w:rsid w:val="408D6263"/>
    <w:rsid w:val="41B40CEE"/>
    <w:rsid w:val="44C43BC3"/>
    <w:rsid w:val="48317291"/>
    <w:rsid w:val="485F7024"/>
    <w:rsid w:val="48E70666"/>
    <w:rsid w:val="4C6877E5"/>
    <w:rsid w:val="4D6A468D"/>
    <w:rsid w:val="4EA86137"/>
    <w:rsid w:val="548117E3"/>
    <w:rsid w:val="56CA7FD0"/>
    <w:rsid w:val="57FA38D1"/>
    <w:rsid w:val="57FDA139"/>
    <w:rsid w:val="5F7D3333"/>
    <w:rsid w:val="61385890"/>
    <w:rsid w:val="6504510C"/>
    <w:rsid w:val="656C203B"/>
    <w:rsid w:val="687436E1"/>
    <w:rsid w:val="6DA45C50"/>
    <w:rsid w:val="6E9A7825"/>
    <w:rsid w:val="6F670F9B"/>
    <w:rsid w:val="6FFD41FA"/>
    <w:rsid w:val="737450E0"/>
    <w:rsid w:val="74054476"/>
    <w:rsid w:val="742F38C4"/>
    <w:rsid w:val="74AB66DC"/>
    <w:rsid w:val="74C4154C"/>
    <w:rsid w:val="75956FFF"/>
    <w:rsid w:val="76D87530"/>
    <w:rsid w:val="77AA2D01"/>
    <w:rsid w:val="7A35296F"/>
    <w:rsid w:val="7A85177D"/>
    <w:rsid w:val="7CCD2F68"/>
    <w:rsid w:val="7CDE1DBD"/>
    <w:rsid w:val="7D943A85"/>
    <w:rsid w:val="7DB0448C"/>
    <w:rsid w:val="7E3841A0"/>
    <w:rsid w:val="7E5F9AA4"/>
    <w:rsid w:val="8FFC8888"/>
    <w:rsid w:val="A7F73C99"/>
    <w:rsid w:val="BEF53581"/>
    <w:rsid w:val="BFFE3BF4"/>
    <w:rsid w:val="DFEBDA37"/>
    <w:rsid w:val="EA0FDDC1"/>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Normal Indent"/>
    <w:basedOn w:val="1"/>
    <w:next w:val="5"/>
    <w:unhideWhenUsed/>
    <w:qFormat/>
    <w:uiPriority w:val="99"/>
    <w:pPr>
      <w:ind w:left="720"/>
    </w:pPr>
  </w:style>
  <w:style w:type="paragraph" w:customStyle="1" w:styleId="5">
    <w:name w:val="正文内容格式"/>
    <w:basedOn w:val="1"/>
    <w:qFormat/>
    <w:uiPriority w:val="0"/>
    <w:pPr>
      <w:adjustRightInd w:val="0"/>
      <w:snapToGrid w:val="0"/>
      <w:spacing w:before="50" w:after="50"/>
      <w:textAlignment w:val="baseline"/>
    </w:pPr>
    <w:rPr>
      <w:rFonts w:ascii="宋体" w:hAnsi="宋体"/>
    </w:rPr>
  </w:style>
  <w:style w:type="paragraph" w:styleId="6">
    <w:name w:val="annotation text"/>
    <w:basedOn w:val="1"/>
    <w:link w:val="16"/>
    <w:qFormat/>
    <w:uiPriority w:val="0"/>
    <w:pPr>
      <w:jc w:val="left"/>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6"/>
    <w:next w:val="6"/>
    <w:link w:val="19"/>
    <w:qFormat/>
    <w:uiPriority w:val="0"/>
    <w:rPr>
      <w:b/>
      <w:bCs/>
    </w:rPr>
  </w:style>
  <w:style w:type="character" w:styleId="14">
    <w:name w:val="page number"/>
    <w:qFormat/>
    <w:uiPriority w:val="0"/>
  </w:style>
  <w:style w:type="character" w:styleId="15">
    <w:name w:val="annotation reference"/>
    <w:qFormat/>
    <w:uiPriority w:val="0"/>
    <w:rPr>
      <w:sz w:val="21"/>
      <w:szCs w:val="21"/>
    </w:rPr>
  </w:style>
  <w:style w:type="character" w:customStyle="1" w:styleId="16">
    <w:name w:val="批注文字 Char"/>
    <w:link w:val="6"/>
    <w:qFormat/>
    <w:uiPriority w:val="0"/>
    <w:rPr>
      <w:kern w:val="2"/>
      <w:sz w:val="21"/>
      <w:szCs w:val="24"/>
    </w:rPr>
  </w:style>
  <w:style w:type="character" w:customStyle="1" w:styleId="17">
    <w:name w:val="批注框文本 Char"/>
    <w:link w:val="7"/>
    <w:qFormat/>
    <w:uiPriority w:val="0"/>
    <w:rPr>
      <w:kern w:val="2"/>
      <w:sz w:val="18"/>
      <w:szCs w:val="18"/>
    </w:rPr>
  </w:style>
  <w:style w:type="character" w:customStyle="1" w:styleId="18">
    <w:name w:val="页眉 Char"/>
    <w:link w:val="9"/>
    <w:qFormat/>
    <w:uiPriority w:val="0"/>
    <w:rPr>
      <w:kern w:val="2"/>
      <w:sz w:val="18"/>
      <w:szCs w:val="18"/>
    </w:rPr>
  </w:style>
  <w:style w:type="character" w:customStyle="1" w:styleId="19">
    <w:name w:val="批注主题 Char"/>
    <w:link w:val="11"/>
    <w:qFormat/>
    <w:uiPriority w:val="0"/>
    <w:rPr>
      <w:b/>
      <w:bCs/>
      <w:kern w:val="2"/>
      <w:sz w:val="21"/>
      <w:szCs w:val="24"/>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Chars="200"/>
    </w:pPr>
    <w:rPr>
      <w:rFonts w:ascii="Times New Roman" w:hAnsi="Times New Roman" w:eastAsia="宋体" w:cs="Times New Roman"/>
      <w:lang w:val="en-US" w:eastAsia="zh-CN" w:bidi="ar-SA"/>
    </w:rPr>
  </w:style>
  <w:style w:type="paragraph" w:customStyle="1" w:styleId="22">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7160</Words>
  <Characters>8047</Characters>
  <Lines>67</Lines>
  <Paragraphs>18</Paragraphs>
  <TotalTime>8</TotalTime>
  <ScaleCrop>false</ScaleCrop>
  <LinksUpToDate>false</LinksUpToDate>
  <CharactersWithSpaces>8133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2023-08-03T16:58:00Z</cp:lastPrinted>
  <dcterms:modified xsi:type="dcterms:W3CDTF">2025-11-06T10:59:40Z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2A5DD08D7BC649DE90A5B9C3843C018A</vt:lpwstr>
  </property>
  <property fmtid="{D5CDD505-2E9C-101B-9397-08002B2CF9AE}" pid="4" name="KSOTemplateDocerSaveRecord">
    <vt:lpwstr>eyJoZGlkIjoiY2VlZThlZDk5ZTQ4MTFjNGY3MjIxNTdiOWMzZmQwMWMiLCJ1c2VySWQiOiIyMzQ5MTc1OTYifQ==</vt:lpwstr>
  </property>
</Properties>
</file>