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EE614E">
      <w:pPr>
        <w:spacing w:line="578" w:lineRule="exact"/>
        <w:jc w:val="center"/>
        <w:rPr>
          <w:rFonts w:hint="eastAsia" w:ascii="黑体" w:hAnsi="ˎ̥" w:eastAsia="黑体"/>
          <w:color w:val="auto"/>
          <w:sz w:val="40"/>
          <w:szCs w:val="40"/>
        </w:rPr>
      </w:pPr>
      <w:r>
        <w:rPr>
          <w:rFonts w:hint="eastAsia" w:ascii="黑体" w:hAnsi="ˎ̥" w:eastAsia="黑体"/>
          <w:color w:val="auto"/>
          <w:sz w:val="40"/>
          <w:szCs w:val="40"/>
        </w:rPr>
        <w:t>墨脱县</w:t>
      </w:r>
      <w:r>
        <w:rPr>
          <w:rFonts w:hint="eastAsia" w:ascii="黑体" w:hAnsi="ˎ̥" w:eastAsia="黑体"/>
          <w:color w:val="auto"/>
          <w:sz w:val="40"/>
          <w:szCs w:val="40"/>
          <w:lang w:eastAsia="zh-CN"/>
        </w:rPr>
        <w:t>委组织部</w:t>
      </w:r>
      <w:r>
        <w:rPr>
          <w:rFonts w:hint="eastAsia" w:ascii="黑体" w:hAnsi="ˎ̥" w:eastAsia="黑体"/>
          <w:color w:val="auto"/>
          <w:sz w:val="40"/>
          <w:szCs w:val="40"/>
        </w:rPr>
        <w:t>202</w:t>
      </w:r>
      <w:r>
        <w:rPr>
          <w:rFonts w:ascii="黑体" w:hAnsi="ˎ̥" w:eastAsia="黑体"/>
          <w:color w:val="auto"/>
          <w:sz w:val="40"/>
          <w:szCs w:val="40"/>
        </w:rPr>
        <w:t>3</w:t>
      </w:r>
      <w:r>
        <w:rPr>
          <w:rFonts w:hint="eastAsia" w:ascii="黑体" w:hAnsi="ˎ̥" w:eastAsia="黑体"/>
          <w:color w:val="auto"/>
          <w:sz w:val="40"/>
          <w:szCs w:val="40"/>
        </w:rPr>
        <w:t>年度部门决算公开</w:t>
      </w:r>
      <w:r>
        <w:rPr>
          <w:rFonts w:ascii="黑体" w:hAnsi="ˎ̥" w:eastAsia="黑体"/>
          <w:color w:val="auto"/>
          <w:sz w:val="40"/>
          <w:szCs w:val="40"/>
        </w:rPr>
        <w:t>报告</w:t>
      </w:r>
    </w:p>
    <w:p w14:paraId="6AEEA8BC">
      <w:pPr>
        <w:spacing w:line="578" w:lineRule="exact"/>
        <w:jc w:val="center"/>
        <w:rPr>
          <w:rFonts w:hint="eastAsia" w:ascii="黑体" w:hAnsi="ˎ̥" w:eastAsia="黑体"/>
          <w:b/>
          <w:color w:val="auto"/>
          <w:sz w:val="28"/>
          <w:szCs w:val="28"/>
        </w:rPr>
      </w:pPr>
    </w:p>
    <w:p w14:paraId="4A0FE7F6">
      <w:pPr>
        <w:spacing w:line="578" w:lineRule="exact"/>
        <w:jc w:val="center"/>
        <w:rPr>
          <w:rFonts w:hint="eastAsia" w:ascii="黑体" w:hAnsi="ˎ̥" w:eastAsia="黑体"/>
          <w:color w:val="auto"/>
          <w:sz w:val="32"/>
          <w:szCs w:val="32"/>
        </w:rPr>
      </w:pPr>
      <w:r>
        <w:rPr>
          <w:rFonts w:hint="eastAsia" w:ascii="黑体" w:hAnsi="ˎ̥" w:eastAsia="黑体"/>
          <w:color w:val="auto"/>
          <w:sz w:val="32"/>
          <w:szCs w:val="32"/>
        </w:rPr>
        <w:t>第一部分  基本情况</w:t>
      </w:r>
    </w:p>
    <w:p w14:paraId="3F9BA85B">
      <w:pPr>
        <w:spacing w:line="578" w:lineRule="exact"/>
        <w:ind w:firstLine="640" w:firstLineChars="200"/>
        <w:rPr>
          <w:rFonts w:hint="eastAsia" w:ascii="楷体" w:hAnsi="楷体" w:eastAsia="楷体" w:cs="楷体"/>
          <w:color w:val="auto"/>
          <w:sz w:val="32"/>
          <w:szCs w:val="32"/>
        </w:rPr>
      </w:pPr>
    </w:p>
    <w:p w14:paraId="5597591F">
      <w:pPr>
        <w:jc w:val="left"/>
        <w:outlineLvl w:val="1"/>
        <w:rPr>
          <w:rFonts w:hint="eastAsia" w:ascii="宋体" w:hAnsi="宋体" w:eastAsia="宋体" w:cs="宋体"/>
          <w:color w:val="auto"/>
          <w:sz w:val="32"/>
          <w:szCs w:val="32"/>
        </w:rPr>
      </w:pPr>
      <w:bookmarkStart w:id="0" w:name="_Toc11537"/>
      <w:bookmarkStart w:id="1" w:name="_Toc6928_WPSOffice_Level2"/>
      <w:r>
        <w:rPr>
          <w:rStyle w:val="12"/>
          <w:rFonts w:hint="eastAsia" w:ascii="宋体" w:hAnsi="宋体" w:eastAsia="宋体" w:cs="宋体"/>
          <w:color w:val="auto"/>
        </w:rPr>
        <w:t>一、预算单位构成</w:t>
      </w:r>
      <w:bookmarkEnd w:id="0"/>
      <w:bookmarkEnd w:id="1"/>
    </w:p>
    <w:p w14:paraId="594B4858">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eastAsia" w:ascii="仿宋_GB2312" w:hAnsi="宋体" w:eastAsia="仿宋_GB2312"/>
          <w:sz w:val="32"/>
          <w:szCs w:val="32"/>
        </w:rPr>
      </w:pPr>
      <w:bookmarkStart w:id="2" w:name="_Toc31958_WPSOffice_Level2"/>
      <w:bookmarkStart w:id="3" w:name="_Toc13280"/>
      <w:r>
        <w:rPr>
          <w:rFonts w:hint="eastAsia" w:ascii="仿宋_GB2312" w:hAnsi="仿宋_GB2312" w:eastAsia="仿宋_GB2312" w:cs="仿宋_GB2312"/>
          <w:sz w:val="32"/>
          <w:szCs w:val="32"/>
        </w:rPr>
        <w:t>中共墨脱县委员会组织部是县委主管全县组织</w:t>
      </w:r>
      <w:r>
        <w:rPr>
          <w:rFonts w:hint="eastAsia" w:ascii="仿宋_GB2312" w:hAnsi="仿宋_GB2312" w:eastAsia="仿宋_GB2312" w:cs="仿宋_GB2312"/>
          <w:sz w:val="32"/>
          <w:szCs w:val="32"/>
          <w:lang w:eastAsia="zh-CN"/>
        </w:rPr>
        <w:t>、编制、老干部</w:t>
      </w:r>
      <w:r>
        <w:rPr>
          <w:rFonts w:hint="eastAsia" w:ascii="仿宋_GB2312" w:hAnsi="仿宋_GB2312" w:eastAsia="仿宋_GB2312" w:cs="仿宋_GB2312"/>
          <w:sz w:val="32"/>
          <w:szCs w:val="32"/>
        </w:rPr>
        <w:t>工作的</w:t>
      </w:r>
      <w:r>
        <w:rPr>
          <w:rFonts w:hint="eastAsia" w:ascii="仿宋_GB2312" w:hAnsi="仿宋_GB2312" w:eastAsia="仿宋_GB2312" w:cs="仿宋_GB2312"/>
          <w:sz w:val="32"/>
          <w:szCs w:val="32"/>
          <w:lang w:eastAsia="zh-CN"/>
        </w:rPr>
        <w:t>党委</w:t>
      </w:r>
      <w:r>
        <w:rPr>
          <w:rFonts w:hint="eastAsia" w:ascii="仿宋_GB2312" w:hAnsi="仿宋_GB2312" w:eastAsia="仿宋_GB2312" w:cs="仿宋_GB2312"/>
          <w:sz w:val="32"/>
          <w:szCs w:val="32"/>
        </w:rPr>
        <w:t>机关，为正科级，加挂</w:t>
      </w:r>
      <w:r>
        <w:rPr>
          <w:rFonts w:hint="eastAsia" w:ascii="仿宋_GB2312" w:hAnsi="仿宋_GB2312" w:eastAsia="仿宋_GB2312" w:cs="仿宋_GB2312"/>
          <w:sz w:val="32"/>
          <w:szCs w:val="32"/>
          <w:lang w:eastAsia="zh-CN"/>
        </w:rPr>
        <w:t>县直属机关工委、</w:t>
      </w:r>
      <w:r>
        <w:rPr>
          <w:rFonts w:hint="eastAsia" w:ascii="仿宋_GB2312" w:hAnsi="仿宋_GB2312" w:eastAsia="仿宋_GB2312" w:cs="仿宋_GB2312"/>
          <w:sz w:val="32"/>
          <w:szCs w:val="32"/>
        </w:rPr>
        <w:t>县委老干部局、县公务员局牌子。</w:t>
      </w:r>
    </w:p>
    <w:p w14:paraId="63F7568C">
      <w:pPr>
        <w:numPr>
          <w:ilvl w:val="0"/>
          <w:numId w:val="0"/>
        </w:numPr>
        <w:outlineLvl w:val="9"/>
        <w:rPr>
          <w:rFonts w:hint="eastAsia" w:ascii="宋体" w:hAnsi="宋体" w:eastAsia="宋体" w:cs="宋体"/>
          <w:color w:val="auto"/>
        </w:rPr>
      </w:pPr>
      <w:r>
        <w:rPr>
          <w:rStyle w:val="12"/>
          <w:rFonts w:hint="eastAsia" w:ascii="宋体" w:hAnsi="宋体" w:eastAsia="宋体" w:cs="宋体"/>
          <w:color w:val="auto"/>
          <w:szCs w:val="22"/>
          <w:lang w:eastAsia="zh-CN"/>
        </w:rPr>
        <w:t>二、</w:t>
      </w:r>
      <w:r>
        <w:rPr>
          <w:rStyle w:val="12"/>
          <w:rFonts w:hint="eastAsia" w:ascii="宋体" w:hAnsi="宋体" w:eastAsia="宋体" w:cs="宋体"/>
          <w:color w:val="auto"/>
          <w:szCs w:val="22"/>
        </w:rPr>
        <w:t>部门职责和机构设置</w:t>
      </w:r>
      <w:bookmarkEnd w:id="2"/>
      <w:bookmarkEnd w:id="3"/>
    </w:p>
    <w:p w14:paraId="1BB8EC2D">
      <w:pPr>
        <w:numPr>
          <w:ilvl w:val="0"/>
          <w:numId w:val="0"/>
        </w:numPr>
        <w:outlineLvl w:val="9"/>
        <w:rPr>
          <w:rFonts w:hint="eastAsia" w:ascii="宋体" w:hAnsi="宋体" w:eastAsia="宋体" w:cs="宋体"/>
          <w:color w:val="auto"/>
        </w:rPr>
      </w:pPr>
      <w:r>
        <w:rPr>
          <w:rFonts w:hint="eastAsia" w:ascii="楷体" w:hAnsi="楷体" w:eastAsia="楷体"/>
          <w:color w:val="auto"/>
          <w:sz w:val="32"/>
          <w:szCs w:val="32"/>
        </w:rPr>
        <w:t>（</w:t>
      </w:r>
      <w:r>
        <w:rPr>
          <w:rFonts w:hint="eastAsia" w:ascii="楷体" w:hAnsi="楷体" w:eastAsia="楷体"/>
          <w:color w:val="auto"/>
          <w:sz w:val="32"/>
          <w:szCs w:val="32"/>
          <w:lang w:eastAsia="zh-CN"/>
        </w:rPr>
        <w:t>一</w:t>
      </w:r>
      <w:r>
        <w:rPr>
          <w:rFonts w:hint="eastAsia" w:ascii="楷体" w:hAnsi="楷体" w:eastAsia="楷体"/>
          <w:color w:val="auto"/>
          <w:sz w:val="32"/>
          <w:szCs w:val="32"/>
        </w:rPr>
        <w:t>）部门</w:t>
      </w:r>
      <w:r>
        <w:rPr>
          <w:rFonts w:hint="eastAsia" w:ascii="楷体" w:hAnsi="楷体" w:eastAsia="楷体"/>
          <w:color w:val="auto"/>
          <w:sz w:val="32"/>
          <w:szCs w:val="32"/>
          <w:lang w:eastAsia="zh-CN"/>
        </w:rPr>
        <w:t>职责</w:t>
      </w:r>
    </w:p>
    <w:p w14:paraId="2C15097F">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入贯彻习近平新时代中国特色社会主义思想，贯彻新时代党的建设总要求和新时代党的组织路线，深入贯彻党中央和自治区党委、市委及县委关于组织工作和机构编制工作的决策部署，坚持党对组织工作和机构编制工作的绝对领导，坚决维护党中央权威和集中统一领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研究和指导全县党的组织体系建设，提出加强和改进党的基层组织建设的意见和建议；研究和指导全县党的组织制度和政策法规建设，负责党建理论研究工作。承担县委、人大、政府、政协换届选举的有关工作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负责全县党员教育管理和发展工作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组织开展干部驻村工作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负责全县领导班子和干部队伍建设的宏观管理和综合协调工作。负责对县委管理的乡（科）级领导班子、领导干部的考察考核</w:t>
      </w:r>
      <w:r>
        <w:rPr>
          <w:rFonts w:hint="eastAsia" w:ascii="仿宋_GB2312" w:hAnsi="仿宋_GB2312" w:eastAsia="仿宋_GB2312" w:cs="仿宋_GB2312"/>
          <w:sz w:val="32"/>
          <w:szCs w:val="32"/>
          <w:lang w:eastAsia="zh-CN"/>
        </w:rPr>
        <w:t>管理工作；负责</w:t>
      </w:r>
      <w:r>
        <w:rPr>
          <w:rFonts w:hint="eastAsia" w:ascii="仿宋_GB2312" w:hAnsi="仿宋_GB2312" w:eastAsia="仿宋_GB2312" w:cs="仿宋_GB2312"/>
          <w:sz w:val="32"/>
          <w:szCs w:val="32"/>
        </w:rPr>
        <w:t>公务员录用调配、考核奖惩、培训和工资福利等事务。负责全县人才工作的牵头抓总、宏观指导、组织协调和督促检查</w:t>
      </w:r>
      <w:r>
        <w:rPr>
          <w:rFonts w:hint="eastAsia" w:ascii="仿宋_GB2312" w:hAnsi="仿宋_GB2312" w:eastAsia="仿宋_GB2312" w:cs="仿宋_GB2312"/>
          <w:sz w:val="32"/>
          <w:szCs w:val="32"/>
          <w:lang w:eastAsia="zh-CN"/>
        </w:rPr>
        <w:t>人</w:t>
      </w:r>
      <w:r>
        <w:rPr>
          <w:rFonts w:hint="eastAsia" w:ascii="仿宋_GB2312" w:hAnsi="仿宋_GB2312" w:eastAsia="仿宋_GB2312" w:cs="仿宋_GB2312"/>
          <w:sz w:val="32"/>
          <w:szCs w:val="32"/>
        </w:rPr>
        <w:t>才工作。</w:t>
      </w:r>
      <w:r>
        <w:rPr>
          <w:rFonts w:hint="eastAsia" w:ascii="仿宋_GB2312" w:hAnsi="仿宋_GB2312" w:eastAsia="仿宋_GB2312" w:cs="仿宋_GB2312"/>
          <w:sz w:val="32"/>
          <w:szCs w:val="32"/>
          <w:lang w:eastAsia="zh-CN"/>
        </w:rPr>
        <w:t>负责</w:t>
      </w:r>
      <w:r>
        <w:rPr>
          <w:rFonts w:hint="eastAsia" w:ascii="仿宋_GB2312" w:hAnsi="仿宋_GB2312" w:eastAsia="仿宋_GB2312" w:cs="仿宋_GB2312"/>
          <w:sz w:val="32"/>
          <w:szCs w:val="32"/>
        </w:rPr>
        <w:t>统一管理全县各级党委、人大、政府、政协机关，各人民团体和群众团体的机构编制工作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统筹做好全县离退休干部工作，落实各级各部门离退休干部工作责任。</w:t>
      </w:r>
    </w:p>
    <w:p w14:paraId="695FF6E6">
      <w:pPr>
        <w:ind w:firstLine="640" w:firstLineChars="200"/>
        <w:outlineLvl w:val="9"/>
        <w:rPr>
          <w:rFonts w:hint="eastAsia" w:ascii="楷体" w:hAnsi="楷体" w:eastAsia="楷体"/>
          <w:color w:val="auto"/>
          <w:sz w:val="32"/>
          <w:szCs w:val="32"/>
        </w:rPr>
      </w:pPr>
      <w:r>
        <w:rPr>
          <w:rFonts w:hint="eastAsia" w:ascii="楷体" w:hAnsi="楷体" w:eastAsia="楷体"/>
          <w:color w:val="auto"/>
          <w:sz w:val="32"/>
          <w:szCs w:val="32"/>
        </w:rPr>
        <w:t>（二）部门机构设置</w:t>
      </w:r>
    </w:p>
    <w:p w14:paraId="4C7DED0B">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中共墨脱县委员会组织部（以下简称县委组织部）挂牌机构3个，</w:t>
      </w:r>
      <w:r>
        <w:rPr>
          <w:rFonts w:hint="eastAsia" w:ascii="仿宋_GB2312" w:hAnsi="仿宋_GB2312" w:eastAsia="仿宋_GB2312" w:cs="仿宋_GB2312"/>
          <w:sz w:val="32"/>
          <w:szCs w:val="32"/>
          <w:lang w:eastAsia="zh-CN"/>
        </w:rPr>
        <w:t>为县委老干部局、县属机关工委、县公务员局；常设办事机构</w:t>
      </w:r>
      <w:r>
        <w:rPr>
          <w:rFonts w:hint="eastAsia" w:ascii="仿宋_GB2312" w:hAnsi="仿宋_GB2312" w:eastAsia="仿宋_GB2312" w:cs="仿宋_GB2312"/>
          <w:sz w:val="32"/>
          <w:szCs w:val="32"/>
          <w:lang w:val="en-US" w:eastAsia="zh-CN"/>
        </w:rPr>
        <w:t>1个，为</w:t>
      </w:r>
      <w:r>
        <w:rPr>
          <w:rFonts w:hint="eastAsia" w:ascii="仿宋_GB2312" w:hAnsi="仿宋_GB2312" w:eastAsia="仿宋_GB2312" w:cs="仿宋_GB2312"/>
          <w:sz w:val="32"/>
          <w:szCs w:val="32"/>
        </w:rPr>
        <w:t>县委</w:t>
      </w:r>
      <w:r>
        <w:rPr>
          <w:rFonts w:hint="eastAsia" w:ascii="仿宋_GB2312" w:hAnsi="仿宋_GB2312" w:eastAsia="仿宋_GB2312" w:cs="仿宋_GB2312"/>
          <w:sz w:val="32"/>
          <w:szCs w:val="32"/>
          <w:lang w:eastAsia="zh-CN"/>
        </w:rPr>
        <w:t>编办；下属事业单位</w:t>
      </w:r>
      <w:r>
        <w:rPr>
          <w:rFonts w:hint="eastAsia" w:ascii="仿宋_GB2312" w:hAnsi="仿宋_GB2312" w:eastAsia="仿宋_GB2312" w:cs="仿宋_GB2312"/>
          <w:sz w:val="32"/>
          <w:szCs w:val="32"/>
          <w:lang w:val="en-US" w:eastAsia="zh-CN"/>
        </w:rPr>
        <w:t>2个，为县老干部活动中心、县电子政务中心；代管机构1个，为县委党校。</w:t>
      </w:r>
    </w:p>
    <w:p w14:paraId="2DA41EEE">
      <w:pPr>
        <w:spacing w:line="578" w:lineRule="exact"/>
        <w:jc w:val="center"/>
        <w:rPr>
          <w:rFonts w:hint="eastAsia" w:ascii="黑体" w:hAnsi="ˎ̥" w:eastAsia="黑体"/>
          <w:color w:val="auto"/>
          <w:sz w:val="32"/>
          <w:szCs w:val="32"/>
        </w:rPr>
      </w:pPr>
    </w:p>
    <w:p w14:paraId="7889052A">
      <w:pPr>
        <w:pStyle w:val="2"/>
        <w:rPr>
          <w:rFonts w:hint="eastAsia" w:ascii="黑体" w:hAnsi="ˎ̥" w:eastAsia="黑体"/>
          <w:color w:val="auto"/>
          <w:sz w:val="32"/>
          <w:szCs w:val="32"/>
        </w:rPr>
      </w:pPr>
    </w:p>
    <w:p w14:paraId="2EB1AD60">
      <w:pPr>
        <w:pStyle w:val="5"/>
        <w:rPr>
          <w:rFonts w:hint="eastAsia"/>
        </w:rPr>
      </w:pPr>
    </w:p>
    <w:p w14:paraId="1DC677D8">
      <w:pPr>
        <w:spacing w:line="578" w:lineRule="exact"/>
        <w:jc w:val="center"/>
        <w:rPr>
          <w:rFonts w:hint="eastAsia" w:ascii="黑体" w:hAnsi="ˎ̥" w:eastAsia="黑体"/>
          <w:color w:val="auto"/>
          <w:sz w:val="32"/>
          <w:szCs w:val="32"/>
        </w:rPr>
      </w:pPr>
      <w:r>
        <w:rPr>
          <w:rFonts w:hint="eastAsia" w:ascii="黑体" w:hAnsi="ˎ̥" w:eastAsia="黑体"/>
          <w:color w:val="auto"/>
          <w:sz w:val="32"/>
          <w:szCs w:val="32"/>
        </w:rPr>
        <w:t>第二部分  202</w:t>
      </w:r>
      <w:r>
        <w:rPr>
          <w:rFonts w:ascii="黑体" w:hAnsi="ˎ̥" w:eastAsia="黑体"/>
          <w:color w:val="auto"/>
          <w:sz w:val="32"/>
          <w:szCs w:val="32"/>
        </w:rPr>
        <w:t>3</w:t>
      </w:r>
      <w:r>
        <w:rPr>
          <w:rFonts w:hint="eastAsia" w:ascii="黑体" w:hAnsi="ˎ̥" w:eastAsia="黑体"/>
          <w:color w:val="auto"/>
          <w:sz w:val="32"/>
          <w:szCs w:val="32"/>
        </w:rPr>
        <w:t>年度部门决算公开报表</w:t>
      </w:r>
    </w:p>
    <w:p w14:paraId="115D9399">
      <w:pPr>
        <w:spacing w:line="560" w:lineRule="exact"/>
        <w:jc w:val="center"/>
        <w:rPr>
          <w:rFonts w:hint="eastAsia" w:ascii="仿宋_GB2312" w:hAnsi="宋体" w:eastAsia="仿宋_GB2312"/>
          <w:sz w:val="32"/>
          <w:szCs w:val="32"/>
        </w:rPr>
      </w:pPr>
      <w:bookmarkStart w:id="4" w:name="_Toc10647_WPSOffice_Level2"/>
      <w:r>
        <w:rPr>
          <w:rFonts w:hint="eastAsia" w:ascii="黑体" w:hAnsi="黑体" w:eastAsia="黑体"/>
          <w:sz w:val="32"/>
          <w:szCs w:val="28"/>
        </w:rPr>
        <w:t>（表格详见附件）</w:t>
      </w:r>
      <w:bookmarkEnd w:id="4"/>
    </w:p>
    <w:p w14:paraId="76CBCEB3">
      <w:pPr>
        <w:spacing w:line="578" w:lineRule="exact"/>
        <w:rPr>
          <w:rFonts w:hint="eastAsia" w:ascii="黑体" w:hAnsi="黑体" w:eastAsia="黑体" w:cs="黑体"/>
          <w:color w:val="auto"/>
          <w:sz w:val="32"/>
          <w:szCs w:val="32"/>
        </w:rPr>
      </w:pPr>
    </w:p>
    <w:p w14:paraId="4DF4CB5E">
      <w:pPr>
        <w:pStyle w:val="2"/>
        <w:rPr>
          <w:rFonts w:hint="eastAsia" w:ascii="黑体" w:hAnsi="黑体" w:eastAsia="黑体" w:cs="黑体"/>
          <w:color w:val="auto"/>
          <w:sz w:val="32"/>
          <w:szCs w:val="32"/>
        </w:rPr>
      </w:pPr>
    </w:p>
    <w:p w14:paraId="1739A3B0">
      <w:pPr>
        <w:pStyle w:val="5"/>
        <w:rPr>
          <w:rFonts w:hint="eastAsia"/>
        </w:rPr>
      </w:pPr>
    </w:p>
    <w:p w14:paraId="0851BC44">
      <w:pPr>
        <w:spacing w:line="578" w:lineRule="exact"/>
        <w:jc w:val="center"/>
        <w:rPr>
          <w:rFonts w:hint="eastAsia" w:ascii="黑体" w:hAnsi="ˎ̥" w:eastAsia="黑体"/>
          <w:color w:val="auto"/>
          <w:sz w:val="32"/>
          <w:szCs w:val="32"/>
        </w:rPr>
      </w:pPr>
      <w:bookmarkStart w:id="5" w:name="_Toc29683_WPSOffice_Level1"/>
      <w:bookmarkStart w:id="6" w:name="_Toc28629_WPSOffice_Level1"/>
      <w:bookmarkStart w:id="7" w:name="_Toc4402_WPSOffice_Level1"/>
      <w:bookmarkStart w:id="8" w:name="_Toc31264_WPSOffice_Level1"/>
      <w:bookmarkStart w:id="9" w:name="_Toc27590_WPSOffice_Level1"/>
      <w:bookmarkStart w:id="10" w:name="_Toc16686_WPSOffice_Level1"/>
      <w:r>
        <w:rPr>
          <w:rFonts w:hint="eastAsia" w:ascii="黑体" w:hAnsi="ˎ̥" w:eastAsia="黑体"/>
          <w:color w:val="auto"/>
          <w:sz w:val="32"/>
          <w:szCs w:val="32"/>
        </w:rPr>
        <w:t>第三部分  202</w:t>
      </w:r>
      <w:r>
        <w:rPr>
          <w:rFonts w:ascii="黑体" w:hAnsi="ˎ̥" w:eastAsia="黑体"/>
          <w:color w:val="auto"/>
          <w:sz w:val="32"/>
          <w:szCs w:val="32"/>
        </w:rPr>
        <w:t>3</w:t>
      </w:r>
      <w:r>
        <w:rPr>
          <w:rFonts w:hint="eastAsia" w:ascii="黑体" w:hAnsi="ˎ̥" w:eastAsia="黑体"/>
          <w:color w:val="auto"/>
          <w:sz w:val="32"/>
          <w:szCs w:val="32"/>
        </w:rPr>
        <w:t>年度部门决算情况说明</w:t>
      </w:r>
      <w:bookmarkEnd w:id="5"/>
      <w:bookmarkEnd w:id="6"/>
      <w:bookmarkEnd w:id="7"/>
      <w:bookmarkEnd w:id="8"/>
      <w:bookmarkEnd w:id="9"/>
      <w:bookmarkEnd w:id="10"/>
    </w:p>
    <w:p w14:paraId="612C0256">
      <w:pPr>
        <w:pStyle w:val="5"/>
        <w:ind w:left="0" w:leftChars="0"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bCs/>
          <w:color w:val="auto"/>
          <w:sz w:val="32"/>
          <w:szCs w:val="32"/>
        </w:rPr>
        <w:t>一、收入支出总体情况说明</w:t>
      </w:r>
      <w:r>
        <w:rPr>
          <w:rFonts w:hint="eastAsia" w:ascii="黑体" w:hAnsi="黑体" w:eastAsia="黑体" w:cs="黑体"/>
          <w:bCs/>
          <w:color w:val="auto"/>
          <w:sz w:val="32"/>
          <w:szCs w:val="32"/>
        </w:rPr>
        <w:br w:type="textWrapping"/>
      </w:r>
      <w:r>
        <w:rPr>
          <w:rFonts w:hint="eastAsia" w:ascii="楷体_GB2312" w:hAnsi="ˎ̥" w:eastAsia="楷体_GB2312"/>
          <w:color w:val="auto"/>
          <w:sz w:val="32"/>
          <w:szCs w:val="32"/>
        </w:rPr>
        <w:t xml:space="preserve">  </w:t>
      </w: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lang w:eastAsia="zh-CN"/>
        </w:rPr>
        <w:t>年度</w:t>
      </w:r>
      <w:r>
        <w:rPr>
          <w:rFonts w:hint="eastAsia" w:ascii="仿宋" w:hAnsi="仿宋" w:eastAsia="仿宋"/>
          <w:sz w:val="32"/>
          <w:szCs w:val="32"/>
        </w:rPr>
        <w:t>收入</w:t>
      </w:r>
      <w:r>
        <w:rPr>
          <w:rFonts w:hint="eastAsia" w:ascii="仿宋" w:hAnsi="仿宋" w:eastAsia="仿宋"/>
          <w:sz w:val="32"/>
          <w:szCs w:val="32"/>
          <w:lang w:val="en-US" w:eastAsia="zh-CN"/>
        </w:rPr>
        <w:t>4120.52</w:t>
      </w:r>
      <w:r>
        <w:rPr>
          <w:rFonts w:hint="eastAsia" w:ascii="仿宋" w:hAnsi="仿宋" w:eastAsia="仿宋"/>
          <w:sz w:val="32"/>
          <w:szCs w:val="32"/>
        </w:rPr>
        <w:t>万元、支出</w:t>
      </w:r>
      <w:r>
        <w:rPr>
          <w:rFonts w:hint="eastAsia" w:ascii="仿宋" w:hAnsi="仿宋" w:eastAsia="仿宋"/>
          <w:sz w:val="32"/>
          <w:szCs w:val="32"/>
          <w:lang w:val="en-US" w:eastAsia="zh-CN"/>
        </w:rPr>
        <w:t>4120.52</w:t>
      </w:r>
      <w:r>
        <w:rPr>
          <w:rFonts w:hint="eastAsia" w:ascii="仿宋" w:hAnsi="仿宋" w:eastAsia="仿宋"/>
          <w:sz w:val="32"/>
          <w:szCs w:val="32"/>
        </w:rPr>
        <w:t>万元，与20</w:t>
      </w:r>
      <w:r>
        <w:rPr>
          <w:rFonts w:hint="eastAsia" w:ascii="仿宋" w:hAnsi="仿宋" w:eastAsia="仿宋"/>
          <w:sz w:val="32"/>
          <w:szCs w:val="32"/>
          <w:lang w:val="en-US" w:eastAsia="zh-CN"/>
        </w:rPr>
        <w:t>22</w:t>
      </w:r>
      <w:r>
        <w:rPr>
          <w:rFonts w:hint="eastAsia" w:ascii="仿宋" w:hAnsi="仿宋" w:eastAsia="仿宋"/>
          <w:sz w:val="32"/>
          <w:szCs w:val="32"/>
        </w:rPr>
        <w:t>年相</w:t>
      </w:r>
      <w:r>
        <w:rPr>
          <w:rFonts w:hint="eastAsia" w:ascii="仿宋" w:hAnsi="仿宋" w:eastAsia="仿宋"/>
          <w:sz w:val="32"/>
          <w:szCs w:val="32"/>
          <w:lang w:eastAsia="zh-CN"/>
        </w:rPr>
        <w:t>比，收入、</w:t>
      </w:r>
      <w:r>
        <w:rPr>
          <w:rFonts w:hint="eastAsia" w:ascii="仿宋" w:hAnsi="仿宋" w:eastAsia="仿宋"/>
          <w:sz w:val="32"/>
          <w:szCs w:val="32"/>
          <w:lang w:val="en-US" w:eastAsia="zh-CN"/>
        </w:rPr>
        <w:t>支出总计各增加823.84万元，增长19.99%。主要原因</w:t>
      </w:r>
      <w:r>
        <w:rPr>
          <w:rFonts w:hint="eastAsia" w:ascii="仿宋_GB2312" w:hAnsi="仿宋_GB2312" w:eastAsia="仿宋_GB2312" w:cs="仿宋_GB2312"/>
          <w:sz w:val="32"/>
          <w:szCs w:val="32"/>
          <w:lang w:val="en-US" w:eastAsia="zh-CN"/>
        </w:rPr>
        <w:t>预算专项经费支出增加。</w:t>
      </w:r>
    </w:p>
    <w:p w14:paraId="75BD4448">
      <w:pPr>
        <w:pStyle w:val="5"/>
        <w:ind w:left="0" w:leftChars="0" w:firstLine="0" w:firstLineChars="0"/>
        <w:rPr>
          <w:rFonts w:ascii="楷体" w:hAnsi="楷体" w:eastAsia="楷体" w:cs="楷体"/>
          <w:color w:val="auto"/>
          <w:sz w:val="32"/>
          <w:szCs w:val="32"/>
        </w:rPr>
      </w:pPr>
      <w:r>
        <w:rPr>
          <w:rFonts w:hint="eastAsia" w:ascii="楷体" w:hAnsi="楷体" w:eastAsia="楷体" w:cs="楷体"/>
          <w:color w:val="auto"/>
          <w:sz w:val="32"/>
          <w:szCs w:val="32"/>
        </w:rPr>
        <w:t>（一</w:t>
      </w:r>
      <w:r>
        <w:rPr>
          <w:rFonts w:ascii="楷体" w:hAnsi="楷体" w:eastAsia="楷体" w:cs="楷体"/>
          <w:color w:val="auto"/>
          <w:sz w:val="32"/>
          <w:szCs w:val="32"/>
        </w:rPr>
        <w:t>）</w:t>
      </w:r>
      <w:r>
        <w:rPr>
          <w:rFonts w:hint="eastAsia" w:ascii="楷体" w:hAnsi="楷体" w:eastAsia="楷体" w:cs="楷体"/>
          <w:color w:val="auto"/>
          <w:sz w:val="32"/>
          <w:szCs w:val="32"/>
        </w:rPr>
        <w:t>收入</w:t>
      </w:r>
      <w:r>
        <w:rPr>
          <w:rFonts w:ascii="楷体" w:hAnsi="楷体" w:eastAsia="楷体" w:cs="楷体"/>
          <w:color w:val="auto"/>
          <w:sz w:val="32"/>
          <w:szCs w:val="32"/>
        </w:rPr>
        <w:t>总计</w:t>
      </w:r>
      <w:r>
        <w:rPr>
          <w:rFonts w:hint="eastAsia" w:ascii="楷体" w:hAnsi="楷体" w:eastAsia="楷体" w:cs="楷体"/>
          <w:color w:val="auto"/>
          <w:sz w:val="32"/>
          <w:szCs w:val="32"/>
        </w:rPr>
        <w:t>主要</w:t>
      </w:r>
      <w:r>
        <w:rPr>
          <w:rFonts w:ascii="楷体" w:hAnsi="楷体" w:eastAsia="楷体" w:cs="楷体"/>
          <w:color w:val="auto"/>
          <w:sz w:val="32"/>
          <w:szCs w:val="32"/>
        </w:rPr>
        <w:t>构成</w:t>
      </w:r>
      <w:r>
        <w:rPr>
          <w:rFonts w:hint="eastAsia" w:ascii="楷体" w:hAnsi="楷体" w:eastAsia="楷体" w:cs="楷体"/>
          <w:color w:val="auto"/>
          <w:sz w:val="32"/>
          <w:szCs w:val="32"/>
        </w:rPr>
        <w:t>。</w:t>
      </w:r>
    </w:p>
    <w:p w14:paraId="11DD21A1">
      <w:pPr>
        <w:spacing w:line="578" w:lineRule="exact"/>
        <w:ind w:firstLine="640" w:firstLineChars="200"/>
        <w:rPr>
          <w:rFonts w:hint="default" w:ascii="仿宋_GB2312" w:hAnsi="ˎ̥" w:eastAsia="仿宋_GB2312"/>
          <w:color w:val="auto"/>
          <w:sz w:val="32"/>
          <w:szCs w:val="32"/>
          <w:lang w:val="en-US"/>
        </w:rPr>
      </w:pPr>
      <w:r>
        <w:rPr>
          <w:rFonts w:hint="eastAsia" w:ascii="仿宋_GB2312" w:hAnsi="仿宋_GB2312" w:eastAsia="仿宋_GB2312" w:cs="仿宋_GB2312"/>
          <w:sz w:val="32"/>
          <w:szCs w:val="32"/>
          <w:lang w:val="en-US" w:eastAsia="zh-CN"/>
        </w:rPr>
        <w:t>2023年度收入4120.52万元，基本收入1114.13万元，占27.04%，项目收入3006.39万元，占72.96%.</w:t>
      </w:r>
    </w:p>
    <w:p w14:paraId="0AE6FE50">
      <w:pPr>
        <w:spacing w:line="578" w:lineRule="exact"/>
        <w:ind w:firstLine="320" w:firstLineChars="100"/>
        <w:rPr>
          <w:rFonts w:ascii="楷体" w:hAnsi="楷体" w:eastAsia="楷体" w:cs="楷体"/>
          <w:color w:val="auto"/>
          <w:sz w:val="32"/>
          <w:szCs w:val="32"/>
        </w:rPr>
      </w:pPr>
      <w:r>
        <w:rPr>
          <w:rFonts w:hint="eastAsia" w:ascii="楷体" w:hAnsi="楷体" w:eastAsia="楷体" w:cs="楷体"/>
          <w:color w:val="auto"/>
          <w:sz w:val="32"/>
          <w:szCs w:val="32"/>
        </w:rPr>
        <w:t>（二</w:t>
      </w:r>
      <w:r>
        <w:rPr>
          <w:rFonts w:ascii="楷体" w:hAnsi="楷体" w:eastAsia="楷体" w:cs="楷体"/>
          <w:color w:val="auto"/>
          <w:sz w:val="32"/>
          <w:szCs w:val="32"/>
        </w:rPr>
        <w:t>）</w:t>
      </w:r>
      <w:r>
        <w:rPr>
          <w:rFonts w:hint="eastAsia" w:ascii="楷体" w:hAnsi="楷体" w:eastAsia="楷体" w:cs="楷体"/>
          <w:color w:val="auto"/>
          <w:sz w:val="32"/>
          <w:szCs w:val="32"/>
        </w:rPr>
        <w:t>支出</w:t>
      </w:r>
      <w:r>
        <w:rPr>
          <w:rFonts w:ascii="楷体" w:hAnsi="楷体" w:eastAsia="楷体" w:cs="楷体"/>
          <w:color w:val="auto"/>
          <w:sz w:val="32"/>
          <w:szCs w:val="32"/>
        </w:rPr>
        <w:t>总计</w:t>
      </w:r>
      <w:r>
        <w:rPr>
          <w:rFonts w:hint="eastAsia" w:ascii="楷体" w:hAnsi="楷体" w:eastAsia="楷体" w:cs="楷体"/>
          <w:color w:val="auto"/>
          <w:sz w:val="32"/>
          <w:szCs w:val="32"/>
        </w:rPr>
        <w:t>主要</w:t>
      </w:r>
      <w:r>
        <w:rPr>
          <w:rFonts w:ascii="楷体" w:hAnsi="楷体" w:eastAsia="楷体" w:cs="楷体"/>
          <w:color w:val="auto"/>
          <w:sz w:val="32"/>
          <w:szCs w:val="32"/>
        </w:rPr>
        <w:t>构成</w:t>
      </w:r>
      <w:r>
        <w:rPr>
          <w:rFonts w:hint="eastAsia" w:ascii="楷体" w:hAnsi="楷体" w:eastAsia="楷体" w:cs="楷体"/>
          <w:color w:val="auto"/>
          <w:sz w:val="32"/>
          <w:szCs w:val="32"/>
        </w:rPr>
        <w:t>。</w:t>
      </w:r>
    </w:p>
    <w:p w14:paraId="6D908134">
      <w:pPr>
        <w:spacing w:line="578" w:lineRule="exact"/>
        <w:ind w:firstLine="640" w:firstLineChars="200"/>
        <w:rPr>
          <w:rFonts w:hint="eastAsia" w:ascii="仿宋" w:hAnsi="仿宋" w:eastAsia="仿宋"/>
          <w:color w:val="auto"/>
          <w:sz w:val="32"/>
          <w:szCs w:val="32"/>
        </w:rPr>
      </w:pPr>
      <w:r>
        <w:rPr>
          <w:rFonts w:hint="eastAsia" w:ascii="仿宋_GB2312" w:hAnsi="ˎ̥" w:eastAsia="仿宋_GB2312"/>
          <w:color w:val="auto"/>
          <w:sz w:val="32"/>
          <w:szCs w:val="32"/>
          <w:lang w:val="en-US" w:eastAsia="zh-CN"/>
        </w:rPr>
        <w:t>2023</w:t>
      </w:r>
      <w:r>
        <w:rPr>
          <w:rFonts w:hint="eastAsia" w:ascii="仿宋_GB2312" w:hAnsi="ˎ̥" w:eastAsia="仿宋_GB2312"/>
          <w:color w:val="auto"/>
          <w:sz w:val="32"/>
          <w:szCs w:val="32"/>
        </w:rPr>
        <w:t>年</w:t>
      </w:r>
      <w:r>
        <w:rPr>
          <w:rFonts w:hint="eastAsia" w:ascii="仿宋_GB2312" w:hAnsi="ˎ̥" w:eastAsia="仿宋_GB2312"/>
          <w:color w:val="auto"/>
          <w:sz w:val="32"/>
          <w:szCs w:val="32"/>
          <w:lang w:eastAsia="zh-CN"/>
        </w:rPr>
        <w:t>度</w:t>
      </w:r>
      <w:r>
        <w:rPr>
          <w:rFonts w:hint="eastAsia" w:ascii="仿宋_GB2312" w:hAnsi="ˎ̥" w:eastAsia="仿宋_GB2312"/>
          <w:color w:val="auto"/>
          <w:sz w:val="32"/>
          <w:szCs w:val="32"/>
        </w:rPr>
        <w:t>支出</w:t>
      </w:r>
      <w:r>
        <w:rPr>
          <w:rFonts w:hint="eastAsia" w:ascii="仿宋_GB2312" w:hAnsi="ˎ̥" w:eastAsia="仿宋_GB2312"/>
          <w:color w:val="auto"/>
          <w:sz w:val="32"/>
          <w:szCs w:val="32"/>
          <w:lang w:val="en-US" w:eastAsia="zh-CN"/>
        </w:rPr>
        <w:t>4120.52</w:t>
      </w:r>
      <w:r>
        <w:rPr>
          <w:rFonts w:hint="eastAsia" w:ascii="仿宋_GB2312" w:hAnsi="ˎ̥" w:eastAsia="仿宋_GB2312"/>
          <w:color w:val="auto"/>
          <w:sz w:val="32"/>
          <w:szCs w:val="32"/>
        </w:rPr>
        <w:t>万元。</w:t>
      </w:r>
      <w:r>
        <w:rPr>
          <w:rFonts w:hint="eastAsia" w:ascii="仿宋" w:hAnsi="仿宋" w:eastAsia="仿宋"/>
          <w:color w:val="auto"/>
          <w:sz w:val="32"/>
          <w:szCs w:val="32"/>
        </w:rPr>
        <w:t>其中：基本支出</w:t>
      </w:r>
      <w:r>
        <w:rPr>
          <w:rFonts w:hint="eastAsia" w:ascii="仿宋" w:hAnsi="仿宋" w:eastAsia="仿宋"/>
          <w:color w:val="auto"/>
          <w:sz w:val="32"/>
          <w:szCs w:val="32"/>
          <w:lang w:val="en-US" w:eastAsia="zh-CN"/>
        </w:rPr>
        <w:t>1114.13</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27.04</w:t>
      </w:r>
      <w:r>
        <w:rPr>
          <w:rFonts w:hint="eastAsia" w:ascii="仿宋" w:hAnsi="仿宋" w:eastAsia="仿宋"/>
          <w:color w:val="auto"/>
          <w:sz w:val="32"/>
          <w:szCs w:val="32"/>
        </w:rPr>
        <w:t>%；项目支出</w:t>
      </w:r>
      <w:r>
        <w:rPr>
          <w:rFonts w:hint="eastAsia" w:ascii="仿宋" w:hAnsi="仿宋" w:eastAsia="仿宋"/>
          <w:color w:val="auto"/>
          <w:sz w:val="32"/>
          <w:szCs w:val="32"/>
          <w:lang w:val="en-US" w:eastAsia="zh-CN"/>
        </w:rPr>
        <w:t>3006.39</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72.96</w:t>
      </w:r>
      <w:r>
        <w:rPr>
          <w:rFonts w:hint="eastAsia" w:ascii="仿宋" w:hAnsi="仿宋" w:eastAsia="仿宋"/>
          <w:color w:val="auto"/>
          <w:sz w:val="32"/>
          <w:szCs w:val="32"/>
        </w:rPr>
        <w:t>%；</w:t>
      </w:r>
    </w:p>
    <w:p w14:paraId="50354D6B">
      <w:pPr>
        <w:spacing w:line="578" w:lineRule="exact"/>
        <w:rPr>
          <w:rFonts w:hint="eastAsia" w:ascii="仿宋_GB2312" w:hAnsi="ˎ̥" w:eastAsia="仿宋_GB2312"/>
          <w:color w:val="auto"/>
          <w:sz w:val="32"/>
          <w:szCs w:val="32"/>
          <w:lang w:eastAsia="zh-CN"/>
        </w:rPr>
      </w:pPr>
      <w:r>
        <w:rPr>
          <w:rFonts w:hint="eastAsia" w:ascii="黑体" w:hAnsi="黑体" w:eastAsia="黑体" w:cs="黑体"/>
          <w:bCs/>
          <w:color w:val="auto"/>
          <w:sz w:val="32"/>
          <w:szCs w:val="32"/>
        </w:rPr>
        <w:t>二、收入决算情况说明</w:t>
      </w:r>
      <w:r>
        <w:rPr>
          <w:rFonts w:hint="eastAsia" w:ascii="黑体" w:hAnsi="黑体" w:eastAsia="黑体" w:cs="黑体"/>
          <w:bCs/>
          <w:color w:val="auto"/>
          <w:sz w:val="32"/>
          <w:szCs w:val="32"/>
        </w:rPr>
        <w:br w:type="textWrapping"/>
      </w:r>
      <w:r>
        <w:rPr>
          <w:rFonts w:hint="eastAsia" w:ascii="仿宋_GB2312" w:hAnsi="ˎ̥" w:eastAsia="仿宋_GB2312"/>
          <w:color w:val="auto"/>
          <w:sz w:val="32"/>
          <w:szCs w:val="32"/>
        </w:rPr>
        <w:t xml:space="preserve">   </w:t>
      </w:r>
      <w:r>
        <w:rPr>
          <w:rFonts w:hint="eastAsia" w:ascii="仿宋_GB2312" w:hAnsi="仿宋_GB2312" w:eastAsia="仿宋_GB2312" w:cs="仿宋_GB2312"/>
          <w:sz w:val="32"/>
          <w:szCs w:val="32"/>
          <w:lang w:val="en-US" w:eastAsia="zh-CN"/>
        </w:rPr>
        <w:t>2023年度收入4120.52万元，全部为财政拨款收入4120.52万元。</w:t>
      </w:r>
    </w:p>
    <w:p w14:paraId="6967D110">
      <w:pPr>
        <w:spacing w:line="578" w:lineRule="exact"/>
        <w:rPr>
          <w:rFonts w:hint="eastAsia" w:ascii="黑体" w:hAnsi="黑体" w:eastAsia="黑体" w:cs="黑体"/>
          <w:bCs/>
          <w:color w:val="auto"/>
          <w:sz w:val="32"/>
          <w:szCs w:val="32"/>
          <w:lang w:val="en-US" w:eastAsia="zh-CN"/>
        </w:rPr>
      </w:pPr>
      <w:r>
        <w:rPr>
          <w:rFonts w:hint="eastAsia" w:ascii="黑体" w:hAnsi="黑体" w:eastAsia="黑体" w:cs="黑体"/>
          <w:bCs/>
          <w:color w:val="auto"/>
          <w:sz w:val="32"/>
          <w:szCs w:val="32"/>
        </w:rPr>
        <w:t>三、支出决算情况说明</w:t>
      </w:r>
      <w:r>
        <w:rPr>
          <w:rFonts w:hint="eastAsia" w:ascii="黑体" w:hAnsi="黑体" w:eastAsia="黑体" w:cs="黑体"/>
          <w:bCs/>
          <w:color w:val="auto"/>
          <w:sz w:val="32"/>
          <w:szCs w:val="32"/>
          <w:lang w:val="en-US" w:eastAsia="zh-CN"/>
        </w:rPr>
        <w:t xml:space="preserve"> </w:t>
      </w:r>
    </w:p>
    <w:p w14:paraId="338A6F6D">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2023年度支出4120.52万元，基本支出1114.13万元，占27.04%，项目支出3006.39万元，占72.96%。</w:t>
      </w:r>
    </w:p>
    <w:p w14:paraId="52F0425A">
      <w:pPr>
        <w:pStyle w:val="5"/>
        <w:ind w:left="0" w:leftChars="0" w:firstLine="0" w:firstLineChars="0"/>
        <w:rPr>
          <w:rFonts w:hint="eastAsia"/>
          <w:lang w:val="en-US" w:eastAsia="zh-CN"/>
        </w:rPr>
      </w:pPr>
      <w:r>
        <w:rPr>
          <w:rFonts w:hint="eastAsia" w:ascii="黑体" w:hAnsi="黑体" w:eastAsia="黑体" w:cs="黑体"/>
          <w:bCs/>
          <w:color w:val="auto"/>
          <w:sz w:val="32"/>
          <w:szCs w:val="32"/>
        </w:rPr>
        <w:t>四、财政拨款收入支出决算总体情况说明</w:t>
      </w:r>
    </w:p>
    <w:p w14:paraId="3F4C8D28">
      <w:pPr>
        <w:pStyle w:val="5"/>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2023年度收入4120.52万元，支出4120.52万元，与2022年相比财政拨款收入增加</w:t>
      </w:r>
      <w:r>
        <w:rPr>
          <w:rFonts w:hint="eastAsia" w:ascii="仿宋" w:hAnsi="仿宋" w:eastAsia="仿宋"/>
          <w:sz w:val="32"/>
          <w:szCs w:val="32"/>
          <w:lang w:val="en-US" w:eastAsia="zh-CN"/>
        </w:rPr>
        <w:t>823.84</w:t>
      </w:r>
      <w:r>
        <w:rPr>
          <w:rFonts w:hint="eastAsia" w:ascii="仿宋_GB2312" w:hAnsi="仿宋_GB2312" w:eastAsia="仿宋_GB2312" w:cs="仿宋_GB2312"/>
          <w:sz w:val="32"/>
          <w:szCs w:val="32"/>
          <w:lang w:val="en-US" w:eastAsia="zh-CN"/>
        </w:rPr>
        <w:t>万元，增长19.99%。支出增加</w:t>
      </w:r>
      <w:r>
        <w:rPr>
          <w:rFonts w:hint="eastAsia" w:ascii="仿宋" w:hAnsi="仿宋" w:eastAsia="仿宋"/>
          <w:sz w:val="32"/>
          <w:szCs w:val="32"/>
          <w:lang w:val="en-US" w:eastAsia="zh-CN"/>
        </w:rPr>
        <w:t>823.84</w:t>
      </w:r>
      <w:r>
        <w:rPr>
          <w:rFonts w:hint="eastAsia" w:ascii="仿宋_GB2312" w:hAnsi="仿宋_GB2312" w:eastAsia="仿宋_GB2312" w:cs="仿宋_GB2312"/>
          <w:sz w:val="32"/>
          <w:szCs w:val="32"/>
          <w:lang w:val="en-US" w:eastAsia="zh-CN"/>
        </w:rPr>
        <w:t>万元，增长19.99%。</w:t>
      </w:r>
    </w:p>
    <w:p w14:paraId="397B4A65">
      <w:pPr>
        <w:spacing w:line="578" w:lineRule="exact"/>
        <w:rPr>
          <w:rFonts w:hint="eastAsia" w:ascii="黑体" w:hAnsi="黑体" w:eastAsia="黑体" w:cs="黑体"/>
          <w:bCs/>
          <w:color w:val="auto"/>
          <w:sz w:val="32"/>
          <w:szCs w:val="32"/>
        </w:rPr>
      </w:pPr>
      <w:r>
        <w:rPr>
          <w:rFonts w:hint="eastAsia" w:ascii="黑体" w:hAnsi="黑体" w:eastAsia="黑体" w:cs="黑体"/>
          <w:bCs/>
          <w:color w:val="auto"/>
          <w:sz w:val="32"/>
          <w:szCs w:val="32"/>
        </w:rPr>
        <w:t>五、一般公共预算财政拨款支出决算情况说明</w:t>
      </w:r>
    </w:p>
    <w:p w14:paraId="46FBF0CC">
      <w:pPr>
        <w:spacing w:line="578" w:lineRule="exact"/>
        <w:ind w:firstLine="640" w:firstLineChars="200"/>
        <w:rPr>
          <w:rFonts w:hint="eastAsia" w:ascii="楷体" w:hAnsi="楷体" w:eastAsia="楷体" w:cs="楷体"/>
          <w:color w:val="auto"/>
          <w:sz w:val="32"/>
          <w:szCs w:val="32"/>
        </w:rPr>
      </w:pPr>
      <w:bookmarkStart w:id="11" w:name="_Toc17398_WPSOffice_Level2"/>
      <w:bookmarkStart w:id="12" w:name="_Toc13694_WPSOffice_Level2"/>
      <w:bookmarkStart w:id="13" w:name="_Toc23005_WPSOffice_Level2"/>
      <w:bookmarkStart w:id="14" w:name="_Toc9989_WPSOffice_Level2"/>
      <w:bookmarkStart w:id="15" w:name="_Toc21737_WPSOffice_Level2"/>
      <w:bookmarkStart w:id="16" w:name="_Toc19665_WPSOffice_Level2"/>
      <w:r>
        <w:rPr>
          <w:rFonts w:hint="eastAsia" w:ascii="楷体" w:hAnsi="楷体" w:eastAsia="楷体" w:cs="楷体"/>
          <w:color w:val="auto"/>
          <w:sz w:val="32"/>
          <w:szCs w:val="32"/>
        </w:rPr>
        <w:t>（一）一般公共预算财政拨款支出决算总体情况</w:t>
      </w:r>
      <w:bookmarkEnd w:id="11"/>
      <w:bookmarkEnd w:id="12"/>
      <w:r>
        <w:rPr>
          <w:rFonts w:hint="eastAsia" w:ascii="楷体" w:hAnsi="楷体" w:eastAsia="楷体" w:cs="楷体"/>
          <w:color w:val="auto"/>
          <w:sz w:val="32"/>
          <w:szCs w:val="32"/>
        </w:rPr>
        <w:t>。</w:t>
      </w:r>
      <w:bookmarkEnd w:id="13"/>
      <w:bookmarkEnd w:id="14"/>
      <w:bookmarkEnd w:id="15"/>
      <w:bookmarkEnd w:id="16"/>
    </w:p>
    <w:p w14:paraId="6CBC2792">
      <w:pPr>
        <w:spacing w:line="578"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023年一般公共预算</w:t>
      </w:r>
      <w:r>
        <w:rPr>
          <w:rFonts w:hint="eastAsia" w:ascii="仿宋_GB2312" w:hAnsi="仿宋_GB2312" w:eastAsia="仿宋_GB2312" w:cs="仿宋_GB2312"/>
          <w:sz w:val="32"/>
          <w:szCs w:val="32"/>
          <w:lang w:eastAsia="zh-CN"/>
        </w:rPr>
        <w:t>财政拨款收入（</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4120.52万</w:t>
      </w:r>
      <w:r>
        <w:rPr>
          <w:rFonts w:hint="eastAsia" w:ascii="仿宋_GB2312" w:hAnsi="仿宋_GB2312" w:eastAsia="仿宋_GB2312" w:cs="仿宋_GB2312"/>
          <w:sz w:val="32"/>
          <w:szCs w:val="32"/>
        </w:rPr>
        <w:t>元</w:t>
      </w:r>
      <w:r>
        <w:rPr>
          <w:rFonts w:hint="eastAsia" w:ascii="仿宋_GB2312" w:hAnsi="ˎ̥" w:eastAsia="仿宋_GB2312"/>
          <w:color w:val="auto"/>
          <w:sz w:val="32"/>
          <w:szCs w:val="32"/>
        </w:rPr>
        <w:t>。</w:t>
      </w:r>
    </w:p>
    <w:p w14:paraId="6988D640">
      <w:pPr>
        <w:spacing w:line="578" w:lineRule="exact"/>
        <w:ind w:firstLine="640" w:firstLineChars="200"/>
        <w:rPr>
          <w:rFonts w:hint="eastAsia" w:ascii="楷体" w:hAnsi="楷体" w:eastAsia="楷体" w:cs="楷体"/>
          <w:color w:val="auto"/>
          <w:sz w:val="32"/>
          <w:szCs w:val="32"/>
        </w:rPr>
      </w:pPr>
      <w:bookmarkStart w:id="17" w:name="_Toc2711_WPSOffice_Level2"/>
      <w:bookmarkStart w:id="18" w:name="_Toc18793_WPSOffice_Level2"/>
      <w:bookmarkStart w:id="19" w:name="_Toc27767_WPSOffice_Level2"/>
      <w:bookmarkStart w:id="20" w:name="_Toc23864_WPSOffice_Level2"/>
      <w:bookmarkStart w:id="21" w:name="_Toc19535_WPSOffice_Level2"/>
      <w:bookmarkStart w:id="22" w:name="_Toc19075_WPSOffice_Level2"/>
      <w:r>
        <w:rPr>
          <w:rFonts w:hint="eastAsia" w:ascii="楷体" w:hAnsi="楷体" w:eastAsia="楷体" w:cs="楷体"/>
          <w:color w:val="auto"/>
          <w:sz w:val="32"/>
          <w:szCs w:val="32"/>
        </w:rPr>
        <w:t>（二）一般公共预算财政拨款支出决算结构情况</w:t>
      </w:r>
      <w:bookmarkEnd w:id="17"/>
      <w:bookmarkEnd w:id="18"/>
      <w:r>
        <w:rPr>
          <w:rFonts w:hint="eastAsia" w:ascii="楷体" w:hAnsi="楷体" w:eastAsia="楷体" w:cs="楷体"/>
          <w:color w:val="auto"/>
          <w:sz w:val="32"/>
          <w:szCs w:val="32"/>
        </w:rPr>
        <w:t>。</w:t>
      </w:r>
      <w:bookmarkEnd w:id="19"/>
      <w:bookmarkEnd w:id="20"/>
      <w:bookmarkEnd w:id="21"/>
      <w:bookmarkEnd w:id="22"/>
    </w:p>
    <w:p w14:paraId="7CEDD6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023年一般公共预算</w:t>
      </w:r>
      <w:r>
        <w:rPr>
          <w:rFonts w:hint="eastAsia" w:ascii="仿宋_GB2312" w:hAnsi="仿宋_GB2312" w:eastAsia="仿宋_GB2312" w:cs="仿宋_GB2312"/>
          <w:sz w:val="32"/>
          <w:szCs w:val="32"/>
          <w:lang w:eastAsia="zh-CN"/>
        </w:rPr>
        <w:t>财政拨款收入（</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4120.52万</w:t>
      </w:r>
      <w:r>
        <w:rPr>
          <w:rFonts w:hint="eastAsia" w:ascii="仿宋_GB2312" w:hAnsi="仿宋_GB2312" w:eastAsia="仿宋_GB2312" w:cs="仿宋_GB2312"/>
          <w:sz w:val="32"/>
          <w:szCs w:val="32"/>
        </w:rPr>
        <w:t>元，按功能分类主要用于以下方面：</w:t>
      </w:r>
      <w:r>
        <w:rPr>
          <w:rFonts w:hint="eastAsia" w:ascii="仿宋_GB2312" w:hAnsi="仿宋_GB2312" w:eastAsia="仿宋_GB2312" w:cs="仿宋_GB2312"/>
          <w:b/>
          <w:bCs/>
          <w:sz w:val="32"/>
          <w:szCs w:val="32"/>
        </w:rPr>
        <w:t>一般公共服务支出</w:t>
      </w:r>
      <w:r>
        <w:rPr>
          <w:rFonts w:hint="eastAsia" w:ascii="仿宋_GB2312" w:hAnsi="仿宋_GB2312" w:eastAsia="仿宋_GB2312" w:cs="仿宋_GB2312"/>
          <w:sz w:val="32"/>
          <w:szCs w:val="32"/>
          <w:lang w:val="en-US" w:eastAsia="zh-CN"/>
        </w:rPr>
        <w:t>2912.66</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70.68</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社会保障和就业支出</w:t>
      </w:r>
      <w:r>
        <w:rPr>
          <w:rFonts w:hint="eastAsia" w:ascii="仿宋_GB2312" w:hAnsi="仿宋_GB2312" w:eastAsia="仿宋_GB2312" w:cs="仿宋_GB2312"/>
          <w:sz w:val="32"/>
          <w:szCs w:val="32"/>
          <w:lang w:val="en-US" w:eastAsia="zh-CN"/>
        </w:rPr>
        <w:t>133.61</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3.23</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卫生健康支出</w:t>
      </w:r>
      <w:r>
        <w:rPr>
          <w:rFonts w:hint="eastAsia" w:ascii="仿宋_GB2312" w:hAnsi="仿宋_GB2312" w:eastAsia="仿宋_GB2312" w:cs="仿宋_GB2312"/>
          <w:sz w:val="32"/>
          <w:szCs w:val="32"/>
          <w:lang w:val="en-US" w:eastAsia="zh-CN"/>
        </w:rPr>
        <w:t>64.33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1.56</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lang w:eastAsia="zh-CN"/>
        </w:rPr>
        <w:t>农林水支出</w:t>
      </w:r>
      <w:r>
        <w:rPr>
          <w:rFonts w:hint="eastAsia" w:ascii="仿宋_GB2312" w:hAnsi="仿宋_GB2312" w:eastAsia="仿宋_GB2312" w:cs="仿宋_GB2312"/>
          <w:sz w:val="32"/>
          <w:szCs w:val="32"/>
          <w:lang w:val="en-US" w:eastAsia="zh-CN"/>
        </w:rPr>
        <w:t>89.84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2.18</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住房保障支出</w:t>
      </w:r>
      <w:r>
        <w:rPr>
          <w:rFonts w:hint="eastAsia" w:ascii="仿宋_GB2312" w:hAnsi="仿宋_GB2312" w:eastAsia="仿宋_GB2312" w:cs="仿宋_GB2312"/>
          <w:sz w:val="32"/>
          <w:szCs w:val="32"/>
          <w:lang w:val="en-US" w:eastAsia="zh-CN"/>
        </w:rPr>
        <w:t>111.48</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2.71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14:paraId="5D9B1D11">
      <w:pPr>
        <w:spacing w:line="578" w:lineRule="exact"/>
        <w:rPr>
          <w:rFonts w:hint="eastAsia" w:ascii="黑体" w:hAnsi="黑体" w:eastAsia="黑体" w:cs="黑体"/>
          <w:color w:val="auto"/>
          <w:sz w:val="32"/>
          <w:szCs w:val="32"/>
        </w:rPr>
      </w:pPr>
      <w:r>
        <w:rPr>
          <w:rFonts w:hint="eastAsia" w:ascii="黑体" w:hAnsi="黑体" w:eastAsia="黑体" w:cs="黑体"/>
          <w:bCs/>
          <w:color w:val="auto"/>
          <w:sz w:val="32"/>
          <w:szCs w:val="32"/>
        </w:rPr>
        <w:t>六、一般公共预算财政拨款基本支出决算情况说明</w:t>
      </w:r>
    </w:p>
    <w:p w14:paraId="314D2471">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202</w:t>
      </w:r>
      <w:r>
        <w:rPr>
          <w:rFonts w:ascii="仿宋_GB2312" w:hAnsi="ˎ̥" w:eastAsia="仿宋_GB2312"/>
          <w:color w:val="auto"/>
          <w:sz w:val="32"/>
          <w:szCs w:val="32"/>
        </w:rPr>
        <w:t>3</w:t>
      </w:r>
      <w:r>
        <w:rPr>
          <w:rFonts w:hint="eastAsia" w:ascii="仿宋_GB2312" w:hAnsi="ˎ̥" w:eastAsia="仿宋_GB2312"/>
          <w:color w:val="auto"/>
          <w:sz w:val="32"/>
          <w:szCs w:val="32"/>
        </w:rPr>
        <w:t>年度财政拨款基本支出</w:t>
      </w:r>
      <w:r>
        <w:rPr>
          <w:rFonts w:hint="eastAsia" w:ascii="仿宋_GB2312" w:hAnsi="ˎ̥" w:eastAsia="仿宋_GB2312"/>
          <w:color w:val="auto"/>
          <w:sz w:val="32"/>
          <w:szCs w:val="32"/>
          <w:lang w:val="en-US" w:eastAsia="zh-CN"/>
        </w:rPr>
        <w:t>4120.52</w:t>
      </w:r>
      <w:r>
        <w:rPr>
          <w:rFonts w:hint="eastAsia" w:ascii="仿宋_GB2312" w:hAnsi="ˎ̥" w:eastAsia="仿宋_GB2312"/>
          <w:color w:val="auto"/>
          <w:sz w:val="32"/>
          <w:szCs w:val="32"/>
        </w:rPr>
        <w:t>万元，其中：人员经费</w:t>
      </w:r>
      <w:r>
        <w:rPr>
          <w:rFonts w:hint="eastAsia" w:ascii="仿宋_GB2312" w:hAnsi="ˎ̥" w:eastAsia="仿宋_GB2312"/>
          <w:color w:val="auto"/>
          <w:sz w:val="32"/>
          <w:szCs w:val="32"/>
          <w:lang w:val="en-US" w:eastAsia="zh-CN"/>
        </w:rPr>
        <w:t>1073</w:t>
      </w:r>
      <w:r>
        <w:rPr>
          <w:rFonts w:hint="eastAsia" w:ascii="仿宋_GB2312" w:hAnsi="ˎ̥" w:eastAsia="仿宋_GB2312"/>
          <w:color w:val="auto"/>
          <w:sz w:val="32"/>
          <w:szCs w:val="32"/>
        </w:rPr>
        <w:t>万元，</w:t>
      </w:r>
      <w:r>
        <w:rPr>
          <w:rFonts w:hint="eastAsia" w:ascii="仿宋_GB2312" w:hAnsi="ˎ̥" w:eastAsia="仿宋_GB2312"/>
          <w:color w:val="auto"/>
          <w:sz w:val="32"/>
          <w:szCs w:val="32"/>
          <w:lang w:eastAsia="zh-CN"/>
        </w:rPr>
        <w:t>主</w:t>
      </w:r>
      <w:r>
        <w:rPr>
          <w:rFonts w:hint="eastAsia" w:ascii="仿宋" w:hAnsi="仿宋" w:eastAsia="仿宋"/>
          <w:sz w:val="32"/>
          <w:szCs w:val="32"/>
        </w:rPr>
        <w:t>要包括基本工资、津贴补贴、奖金、机关事业单位基本养老保险缴费、职工基本医疗保险缴费、公务员医疗补助缴费、其他社会保障缴费、住房公积金、其他工资福利支出、生活补助、其他对个人和家庭的补助等；公用经费支出41万元，主要包括办公费、电费、邮电费、差旅费、培训费、工会经费、公务用车运行维护费、其他商品和服务支出等。</w:t>
      </w:r>
    </w:p>
    <w:p w14:paraId="22B64677">
      <w:pPr>
        <w:spacing w:line="578" w:lineRule="exact"/>
        <w:rPr>
          <w:rFonts w:hint="eastAsia" w:ascii="仿宋_GB2312" w:hAnsi="ˎ̥" w:eastAsia="楷体_GB2312"/>
          <w:color w:val="auto"/>
          <w:sz w:val="32"/>
          <w:szCs w:val="32"/>
        </w:rPr>
      </w:pPr>
      <w:r>
        <w:rPr>
          <w:rFonts w:hint="eastAsia" w:ascii="黑体" w:hAnsi="黑体" w:eastAsia="黑体" w:cs="黑体"/>
          <w:bCs/>
          <w:color w:val="auto"/>
          <w:sz w:val="32"/>
          <w:szCs w:val="32"/>
          <w:lang w:eastAsia="zh-CN"/>
        </w:rPr>
        <w:t>七</w:t>
      </w:r>
      <w:r>
        <w:rPr>
          <w:rFonts w:hint="eastAsia" w:ascii="黑体" w:hAnsi="黑体" w:eastAsia="黑体" w:cs="黑体"/>
          <w:bCs/>
          <w:color w:val="auto"/>
          <w:sz w:val="32"/>
          <w:szCs w:val="32"/>
        </w:rPr>
        <w:t>、财政拨款“三公”经费支出决算情况说明</w:t>
      </w:r>
    </w:p>
    <w:p w14:paraId="5D022A68">
      <w:pPr>
        <w:spacing w:line="578" w:lineRule="exact"/>
        <w:ind w:firstLine="640" w:firstLineChars="200"/>
        <w:rPr>
          <w:rFonts w:hint="eastAsia" w:ascii="楷体" w:hAnsi="楷体" w:eastAsia="楷体" w:cs="楷体"/>
          <w:bCs/>
          <w:color w:val="auto"/>
          <w:sz w:val="32"/>
          <w:szCs w:val="32"/>
        </w:rPr>
      </w:pPr>
      <w:r>
        <w:rPr>
          <w:rFonts w:hint="eastAsia" w:ascii="楷体" w:hAnsi="楷体" w:eastAsia="楷体" w:cs="楷体"/>
          <w:bCs/>
          <w:color w:val="auto"/>
          <w:sz w:val="32"/>
          <w:szCs w:val="32"/>
        </w:rPr>
        <w:t>（一）财政拨款“三公”经费支出决算总体情况说明。</w:t>
      </w:r>
    </w:p>
    <w:p w14:paraId="649613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ˎ̥" w:eastAsia="仿宋_GB2312"/>
          <w:color w:val="auto"/>
          <w:sz w:val="32"/>
          <w:szCs w:val="32"/>
        </w:rPr>
        <w:t xml:space="preserve">  </w:t>
      </w:r>
      <w:r>
        <w:rPr>
          <w:rFonts w:hint="eastAsia" w:ascii="仿宋_GB2312" w:hAnsi="仿宋_GB2312" w:eastAsia="仿宋_GB2312" w:cs="仿宋_GB2312"/>
          <w:sz w:val="32"/>
          <w:szCs w:val="32"/>
        </w:rPr>
        <w:t>2023年</w:t>
      </w:r>
      <w:r>
        <w:rPr>
          <w:rFonts w:hint="eastAsia" w:ascii="仿宋_GB2312" w:hAnsi="仿宋_GB2312" w:eastAsia="仿宋_GB2312" w:cs="仿宋_GB2312"/>
          <w:sz w:val="32"/>
          <w:szCs w:val="32"/>
          <w:lang w:eastAsia="zh-CN"/>
        </w:rPr>
        <w:t>度县委组织部</w:t>
      </w:r>
      <w:r>
        <w:rPr>
          <w:rFonts w:hint="eastAsia" w:ascii="仿宋_GB2312" w:hAnsi="仿宋_GB2312" w:eastAsia="仿宋_GB2312" w:cs="仿宋_GB2312"/>
          <w:sz w:val="32"/>
          <w:szCs w:val="32"/>
        </w:rPr>
        <w:t>“三公”经费预算数为</w:t>
      </w:r>
      <w:r>
        <w:rPr>
          <w:rFonts w:hint="eastAsia" w:ascii="仿宋_GB2312" w:hAnsi="仿宋_GB2312" w:eastAsia="仿宋_GB2312" w:cs="仿宋_GB2312"/>
          <w:sz w:val="32"/>
          <w:szCs w:val="32"/>
          <w:lang w:val="en-US" w:eastAsia="zh-CN"/>
        </w:rPr>
        <w:t>10.21</w:t>
      </w:r>
      <w:r>
        <w:rPr>
          <w:rFonts w:hint="eastAsia" w:ascii="仿宋_GB2312" w:hAnsi="仿宋_GB2312" w:eastAsia="仿宋_GB2312" w:cs="仿宋_GB2312"/>
          <w:sz w:val="32"/>
          <w:szCs w:val="32"/>
        </w:rPr>
        <w:t>万元，其中：因公出国（境）费0万元，公务用车购置费0万元，公务用车运行维护费</w:t>
      </w:r>
      <w:r>
        <w:rPr>
          <w:rFonts w:hint="eastAsia" w:ascii="仿宋_GB2312" w:hAnsi="仿宋_GB2312" w:eastAsia="仿宋_GB2312" w:cs="仿宋_GB2312"/>
          <w:sz w:val="32"/>
          <w:szCs w:val="32"/>
          <w:lang w:val="en-US" w:eastAsia="zh-CN"/>
        </w:rPr>
        <w:t>10.21</w:t>
      </w:r>
      <w:r>
        <w:rPr>
          <w:rFonts w:hint="eastAsia" w:ascii="仿宋_GB2312" w:hAnsi="仿宋_GB2312" w:eastAsia="仿宋_GB2312" w:cs="仿宋_GB2312"/>
          <w:sz w:val="32"/>
          <w:szCs w:val="32"/>
        </w:rPr>
        <w:t>万元，公务接待费0万元。执行数为</w:t>
      </w:r>
      <w:r>
        <w:rPr>
          <w:rFonts w:hint="eastAsia" w:ascii="仿宋_GB2312" w:hAnsi="仿宋_GB2312" w:eastAsia="仿宋_GB2312" w:cs="仿宋_GB2312"/>
          <w:sz w:val="32"/>
          <w:szCs w:val="32"/>
          <w:lang w:val="en-US" w:eastAsia="zh-CN"/>
        </w:rPr>
        <w:t>10.21</w:t>
      </w:r>
      <w:r>
        <w:rPr>
          <w:rFonts w:hint="eastAsia" w:ascii="仿宋_GB2312" w:hAnsi="仿宋_GB2312" w:eastAsia="仿宋_GB2312" w:cs="仿宋_GB2312"/>
          <w:sz w:val="32"/>
          <w:szCs w:val="32"/>
        </w:rPr>
        <w:t>万元，全部为公务用车运行维护费。</w:t>
      </w:r>
    </w:p>
    <w:p w14:paraId="312AE1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w:t>
      </w:r>
      <w:r>
        <w:rPr>
          <w:rFonts w:hint="eastAsia" w:ascii="仿宋_GB2312" w:hAnsi="仿宋_GB2312" w:eastAsia="仿宋_GB2312" w:cs="仿宋_GB2312"/>
          <w:sz w:val="32"/>
          <w:szCs w:val="32"/>
          <w:lang w:eastAsia="zh-CN"/>
        </w:rPr>
        <w:t>度县委组织部</w:t>
      </w:r>
      <w:r>
        <w:rPr>
          <w:rFonts w:hint="eastAsia" w:ascii="仿宋_GB2312" w:hAnsi="仿宋_GB2312" w:eastAsia="仿宋_GB2312" w:cs="仿宋_GB2312"/>
          <w:sz w:val="32"/>
          <w:szCs w:val="32"/>
        </w:rPr>
        <w:t>“三公”经费</w:t>
      </w:r>
      <w:r>
        <w:rPr>
          <w:rFonts w:hint="eastAsia" w:ascii="仿宋_GB2312" w:hAnsi="仿宋_GB2312" w:eastAsia="仿宋_GB2312" w:cs="仿宋_GB2312"/>
          <w:sz w:val="32"/>
          <w:szCs w:val="32"/>
          <w:lang w:eastAsia="zh-CN"/>
        </w:rPr>
        <w:t>一般</w:t>
      </w:r>
      <w:r>
        <w:rPr>
          <w:rFonts w:hint="eastAsia" w:ascii="仿宋_GB2312" w:hAnsi="仿宋_GB2312" w:eastAsia="仿宋_GB2312" w:cs="仿宋_GB2312"/>
          <w:sz w:val="32"/>
          <w:szCs w:val="32"/>
        </w:rPr>
        <w:t>公共预算</w:t>
      </w:r>
      <w:r>
        <w:rPr>
          <w:rFonts w:hint="eastAsia" w:ascii="仿宋_GB2312" w:hAnsi="仿宋_GB2312" w:eastAsia="仿宋_GB2312" w:cs="仿宋_GB2312"/>
          <w:sz w:val="32"/>
          <w:szCs w:val="32"/>
          <w:lang w:eastAsia="zh-CN"/>
        </w:rPr>
        <w:t>财政拨款</w:t>
      </w:r>
      <w:r>
        <w:rPr>
          <w:rFonts w:hint="eastAsia" w:ascii="仿宋_GB2312" w:hAnsi="仿宋_GB2312" w:eastAsia="仿宋_GB2312" w:cs="仿宋_GB2312"/>
          <w:sz w:val="32"/>
          <w:szCs w:val="32"/>
        </w:rPr>
        <w:t>支出决算</w:t>
      </w:r>
      <w:r>
        <w:rPr>
          <w:rFonts w:hint="eastAsia" w:ascii="仿宋_GB2312" w:hAnsi="仿宋_GB2312" w:eastAsia="仿宋_GB2312" w:cs="仿宋_GB2312"/>
          <w:sz w:val="32"/>
          <w:szCs w:val="32"/>
          <w:lang w:val="en-US" w:eastAsia="zh-CN"/>
        </w:rPr>
        <w:t>10.21</w:t>
      </w:r>
      <w:r>
        <w:rPr>
          <w:rFonts w:hint="eastAsia" w:ascii="仿宋_GB2312" w:hAnsi="仿宋_GB2312" w:eastAsia="仿宋_GB2312" w:cs="仿宋_GB2312"/>
          <w:sz w:val="32"/>
          <w:szCs w:val="32"/>
        </w:rPr>
        <w:t>万元，比去年</w:t>
      </w:r>
      <w:r>
        <w:rPr>
          <w:rFonts w:hint="eastAsia" w:ascii="仿宋_GB2312" w:hAnsi="仿宋_GB2312" w:eastAsia="仿宋_GB2312" w:cs="仿宋_GB2312"/>
          <w:sz w:val="32"/>
          <w:szCs w:val="32"/>
          <w:lang w:val="en-US" w:eastAsia="zh-CN"/>
        </w:rPr>
        <w:t>10.23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0.02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0.2%</w:t>
      </w:r>
      <w:r>
        <w:rPr>
          <w:rFonts w:hint="eastAsia" w:ascii="仿宋_GB2312" w:hAnsi="仿宋_GB2312" w:eastAsia="仿宋_GB2312" w:cs="仿宋_GB2312"/>
          <w:sz w:val="32"/>
          <w:szCs w:val="32"/>
        </w:rPr>
        <w:t>。其中：</w:t>
      </w:r>
    </w:p>
    <w:p w14:paraId="49CABE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因公出国（境）费：2023年无因公出国（境）预算和费用。</w:t>
      </w:r>
    </w:p>
    <w:p w14:paraId="3FF59D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）公务用车购置及运行维护费：2023年公务用车维护费支出为</w:t>
      </w:r>
      <w:r>
        <w:rPr>
          <w:rFonts w:hint="eastAsia" w:ascii="仿宋_GB2312" w:hAnsi="仿宋_GB2312" w:eastAsia="仿宋_GB2312" w:cs="仿宋_GB2312"/>
          <w:sz w:val="32"/>
          <w:szCs w:val="32"/>
          <w:lang w:val="en-US" w:eastAsia="zh-CN"/>
        </w:rPr>
        <w:t>10.21万</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2023年无公务用车购置费（预算决算均为0）；2023年度公务用车维护费支出</w:t>
      </w:r>
      <w:r>
        <w:rPr>
          <w:rFonts w:hint="eastAsia" w:ascii="仿宋_GB2312" w:hAnsi="仿宋_GB2312" w:eastAsia="仿宋_GB2312" w:cs="仿宋_GB2312"/>
          <w:sz w:val="32"/>
          <w:szCs w:val="32"/>
          <w:lang w:val="en-US" w:eastAsia="zh-CN"/>
        </w:rPr>
        <w:t>10.21</w:t>
      </w:r>
      <w:r>
        <w:rPr>
          <w:rFonts w:hint="eastAsia" w:ascii="仿宋_GB2312" w:hAnsi="仿宋_GB2312" w:eastAsia="仿宋_GB2312" w:cs="仿宋_GB2312"/>
          <w:sz w:val="32"/>
          <w:szCs w:val="32"/>
        </w:rPr>
        <w:t>万元较2022年度公务用车维护费</w:t>
      </w:r>
      <w:r>
        <w:rPr>
          <w:rFonts w:hint="eastAsia" w:ascii="仿宋_GB2312" w:hAnsi="仿宋_GB2312" w:eastAsia="仿宋_GB2312" w:cs="仿宋_GB2312"/>
          <w:sz w:val="32"/>
          <w:szCs w:val="32"/>
          <w:lang w:val="en-US" w:eastAsia="zh-CN"/>
        </w:rPr>
        <w:t>10.23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0.02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2%。下一步，</w:t>
      </w:r>
      <w:r>
        <w:rPr>
          <w:rFonts w:hint="eastAsia" w:ascii="仿宋_GB2312" w:hAnsi="仿宋_GB2312" w:eastAsia="仿宋_GB2312" w:cs="仿宋_GB2312"/>
          <w:sz w:val="32"/>
          <w:szCs w:val="32"/>
          <w:lang w:eastAsia="zh-CN"/>
        </w:rPr>
        <w:t>我部</w:t>
      </w:r>
      <w:r>
        <w:rPr>
          <w:rFonts w:hint="eastAsia" w:ascii="仿宋_GB2312" w:hAnsi="仿宋_GB2312" w:eastAsia="仿宋_GB2312" w:cs="仿宋_GB2312"/>
          <w:sz w:val="32"/>
          <w:szCs w:val="32"/>
        </w:rPr>
        <w:t>按照区党委、市委</w:t>
      </w:r>
      <w:r>
        <w:rPr>
          <w:rFonts w:hint="eastAsia" w:ascii="仿宋_GB2312" w:hAnsi="仿宋_GB2312" w:eastAsia="仿宋_GB2312" w:cs="仿宋_GB2312"/>
          <w:sz w:val="32"/>
          <w:szCs w:val="32"/>
          <w:lang w:eastAsia="zh-CN"/>
        </w:rPr>
        <w:t>和县委</w:t>
      </w:r>
      <w:r>
        <w:rPr>
          <w:rFonts w:hint="eastAsia" w:ascii="仿宋_GB2312" w:hAnsi="仿宋_GB2312" w:eastAsia="仿宋_GB2312" w:cs="仿宋_GB2312"/>
          <w:sz w:val="32"/>
          <w:szCs w:val="32"/>
        </w:rPr>
        <w:t>的部署要求，在</w:t>
      </w:r>
      <w:r>
        <w:rPr>
          <w:rFonts w:hint="eastAsia" w:ascii="仿宋_GB2312" w:hAnsi="仿宋_GB2312" w:eastAsia="仿宋_GB2312" w:cs="仿宋_GB2312"/>
          <w:sz w:val="32"/>
          <w:szCs w:val="32"/>
          <w:lang w:eastAsia="zh-CN"/>
        </w:rPr>
        <w:t>县委组织部</w:t>
      </w:r>
      <w:r>
        <w:rPr>
          <w:rFonts w:hint="eastAsia" w:ascii="仿宋_GB2312" w:hAnsi="仿宋_GB2312" w:eastAsia="仿宋_GB2312" w:cs="仿宋_GB2312"/>
          <w:sz w:val="32"/>
          <w:szCs w:val="32"/>
        </w:rPr>
        <w:t>的职责外，加强公务车辆使用管理，</w:t>
      </w:r>
      <w:r>
        <w:rPr>
          <w:rFonts w:hint="eastAsia" w:ascii="仿宋_GB2312" w:hAnsi="仿宋_GB2312" w:eastAsia="仿宋_GB2312" w:cs="仿宋_GB2312"/>
          <w:sz w:val="32"/>
          <w:szCs w:val="32"/>
          <w:lang w:eastAsia="zh-CN"/>
        </w:rPr>
        <w:t>严格执行中央八项规定，</w:t>
      </w:r>
      <w:r>
        <w:rPr>
          <w:rFonts w:hint="eastAsia" w:ascii="仿宋_GB2312" w:hAnsi="仿宋_GB2312" w:eastAsia="仿宋_GB2312" w:cs="仿宋_GB2312"/>
          <w:sz w:val="32"/>
          <w:szCs w:val="32"/>
        </w:rPr>
        <w:t>切实降低公务用车运行成本。</w:t>
      </w:r>
    </w:p>
    <w:p w14:paraId="04378F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）公务接待费：2023年我</w:t>
      </w:r>
      <w:r>
        <w:rPr>
          <w:rFonts w:hint="eastAsia" w:ascii="仿宋_GB2312" w:hAnsi="仿宋_GB2312" w:eastAsia="仿宋_GB2312" w:cs="仿宋_GB2312"/>
          <w:sz w:val="32"/>
          <w:szCs w:val="32"/>
          <w:lang w:eastAsia="zh-CN"/>
        </w:rPr>
        <w:t>部</w:t>
      </w:r>
      <w:r>
        <w:rPr>
          <w:rFonts w:hint="eastAsia" w:ascii="仿宋_GB2312" w:hAnsi="仿宋_GB2312" w:eastAsia="仿宋_GB2312" w:cs="仿宋_GB2312"/>
          <w:sz w:val="32"/>
          <w:szCs w:val="32"/>
        </w:rPr>
        <w:t>无公务接待支出。主要原因是我</w:t>
      </w:r>
      <w:r>
        <w:rPr>
          <w:rFonts w:hint="eastAsia" w:ascii="仿宋_GB2312" w:hAnsi="仿宋_GB2312" w:eastAsia="仿宋_GB2312" w:cs="仿宋_GB2312"/>
          <w:sz w:val="32"/>
          <w:szCs w:val="32"/>
          <w:lang w:eastAsia="zh-CN"/>
        </w:rPr>
        <w:t>部</w:t>
      </w:r>
      <w:r>
        <w:rPr>
          <w:rFonts w:hint="eastAsia" w:ascii="仿宋_GB2312" w:hAnsi="仿宋_GB2312" w:eastAsia="仿宋_GB2312" w:cs="仿宋_GB2312"/>
          <w:sz w:val="32"/>
          <w:szCs w:val="32"/>
        </w:rPr>
        <w:t>严格执行中央八项规定精神及其实施细则和区党委实施办法，厉行节约，致使公务接待经费支出减少。</w:t>
      </w:r>
    </w:p>
    <w:p w14:paraId="1A5164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eastAsia="zh-CN"/>
        </w:rPr>
        <w:t>部</w:t>
      </w:r>
      <w:r>
        <w:rPr>
          <w:rFonts w:hint="eastAsia" w:ascii="仿宋_GB2312" w:hAnsi="仿宋_GB2312" w:eastAsia="仿宋_GB2312" w:cs="仿宋_GB2312"/>
          <w:sz w:val="32"/>
          <w:szCs w:val="32"/>
        </w:rPr>
        <w:t>公有公务用车保有量</w:t>
      </w:r>
      <w:r>
        <w:rPr>
          <w:rFonts w:hint="eastAsia" w:ascii="仿宋_GB2312" w:hAnsi="仿宋_GB2312" w:eastAsia="仿宋_GB2312" w:cs="仿宋_GB2312"/>
          <w:sz w:val="32"/>
          <w:szCs w:val="32"/>
          <w:lang w:val="en-US" w:eastAsia="zh-CN"/>
        </w:rPr>
        <w:t>2辆</w:t>
      </w:r>
      <w:r>
        <w:rPr>
          <w:rFonts w:hint="eastAsia" w:ascii="仿宋_GB2312" w:hAnsi="仿宋_GB2312" w:eastAsia="仿宋_GB2312" w:cs="仿宋_GB2312"/>
          <w:sz w:val="32"/>
          <w:szCs w:val="32"/>
        </w:rPr>
        <w:t>。</w:t>
      </w:r>
    </w:p>
    <w:p w14:paraId="170028E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黑体" w:hAnsi="黑体" w:eastAsia="黑体" w:cs="黑体"/>
          <w:bCs/>
          <w:color w:val="auto"/>
          <w:sz w:val="32"/>
          <w:szCs w:val="32"/>
          <w:lang w:val="en-US" w:eastAsia="zh-CN"/>
        </w:rPr>
        <w:t>八.</w:t>
      </w:r>
      <w:r>
        <w:rPr>
          <w:rFonts w:hint="eastAsia" w:ascii="仿宋_GB2312" w:hAnsi="仿宋_GB2312" w:eastAsia="仿宋_GB2312" w:cs="仿宋_GB2312"/>
          <w:sz w:val="32"/>
          <w:szCs w:val="32"/>
        </w:rPr>
        <w:t>其他对单位影响较大的支出情况。</w:t>
      </w:r>
    </w:p>
    <w:p w14:paraId="00F74221">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p w14:paraId="7983DEF2">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九．</w:t>
      </w:r>
      <w:r>
        <w:rPr>
          <w:rFonts w:hint="eastAsia" w:ascii="仿宋_GB2312" w:hAnsi="仿宋_GB2312" w:eastAsia="仿宋_GB2312" w:cs="仿宋_GB2312"/>
          <w:sz w:val="32"/>
          <w:szCs w:val="32"/>
        </w:rPr>
        <w:t>重点经济分类支出中存在的问题及改进措施。</w:t>
      </w:r>
    </w:p>
    <w:p w14:paraId="4E252FA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304"/>
        <w:textAlignment w:val="auto"/>
        <w:rPr>
          <w:rFonts w:hint="eastAsia" w:ascii="仿宋_GB2312" w:hAnsi="ˎ̥" w:eastAsia="仿宋_GB2312"/>
          <w:color w:val="auto"/>
          <w:sz w:val="32"/>
          <w:szCs w:val="32"/>
          <w:lang w:eastAsia="zh-CN"/>
        </w:rPr>
      </w:pPr>
      <w:r>
        <w:rPr>
          <w:rFonts w:hint="eastAsia" w:ascii="仿宋_GB2312" w:hAnsi="仿宋_GB2312" w:eastAsia="仿宋_GB2312" w:cs="仿宋_GB2312"/>
          <w:sz w:val="32"/>
          <w:szCs w:val="32"/>
          <w:lang w:eastAsia="zh-CN"/>
        </w:rPr>
        <w:t>无</w:t>
      </w:r>
    </w:p>
    <w:p w14:paraId="69A39FB8">
      <w:pPr>
        <w:numPr>
          <w:ilvl w:val="0"/>
          <w:numId w:val="0"/>
        </w:numPr>
        <w:spacing w:line="578" w:lineRule="exact"/>
        <w:rPr>
          <w:rFonts w:hint="eastAsia" w:ascii="仿宋_GB2312" w:eastAsia="仿宋_GB2312"/>
          <w:color w:val="auto"/>
          <w:sz w:val="32"/>
          <w:szCs w:val="32"/>
          <w:lang w:bidi="ar"/>
        </w:rPr>
      </w:pPr>
      <w:r>
        <w:rPr>
          <w:rFonts w:hint="eastAsia" w:ascii="黑体" w:hAnsi="黑体" w:eastAsia="黑体" w:cs="黑体"/>
          <w:b/>
          <w:bCs w:val="0"/>
          <w:color w:val="auto"/>
          <w:sz w:val="32"/>
          <w:szCs w:val="32"/>
          <w:lang w:eastAsia="zh-CN"/>
        </w:rPr>
        <w:t>十．</w:t>
      </w:r>
      <w:r>
        <w:rPr>
          <w:rFonts w:hint="eastAsia" w:ascii="黑体" w:hAnsi="黑体" w:eastAsia="黑体" w:cs="黑体"/>
          <w:bCs/>
          <w:color w:val="auto"/>
          <w:sz w:val="32"/>
          <w:szCs w:val="32"/>
        </w:rPr>
        <w:t>预算绩效</w:t>
      </w:r>
      <w:r>
        <w:rPr>
          <w:rFonts w:hint="eastAsia" w:ascii="黑体" w:hAnsi="黑体" w:eastAsia="黑体" w:cs="黑体"/>
          <w:bCs/>
          <w:color w:val="auto"/>
          <w:sz w:val="32"/>
          <w:szCs w:val="32"/>
          <w:lang w:eastAsia="zh-CN"/>
        </w:rPr>
        <w:t>完成</w:t>
      </w:r>
    </w:p>
    <w:p w14:paraId="486ED28F">
      <w:pPr>
        <w:numPr>
          <w:ilvl w:val="0"/>
          <w:numId w:val="0"/>
        </w:numPr>
        <w:spacing w:line="578" w:lineRule="exact"/>
        <w:ind w:firstLine="640" w:firstLineChars="200"/>
        <w:rPr>
          <w:rFonts w:hint="eastAsia" w:ascii="仿宋_GB2312" w:eastAsia="仿宋_GB2312"/>
          <w:color w:val="auto"/>
          <w:sz w:val="32"/>
          <w:szCs w:val="32"/>
          <w:lang w:bidi="ar"/>
        </w:rPr>
      </w:pPr>
      <w:r>
        <w:rPr>
          <w:rFonts w:hint="eastAsia" w:ascii="仿宋_GB2312" w:eastAsia="仿宋_GB2312"/>
          <w:color w:val="auto"/>
          <w:sz w:val="32"/>
          <w:szCs w:val="32"/>
        </w:rPr>
        <w:t>根据预算管理要求，我部门（单位）组织对202</w:t>
      </w:r>
      <w:r>
        <w:rPr>
          <w:rFonts w:ascii="仿宋_GB2312" w:eastAsia="仿宋_GB2312"/>
          <w:color w:val="auto"/>
          <w:sz w:val="32"/>
          <w:szCs w:val="32"/>
        </w:rPr>
        <w:t>3</w:t>
      </w:r>
      <w:r>
        <w:rPr>
          <w:rFonts w:hint="eastAsia" w:ascii="仿宋_GB2312" w:eastAsia="仿宋_GB2312"/>
          <w:color w:val="auto"/>
          <w:sz w:val="32"/>
          <w:szCs w:val="32"/>
        </w:rPr>
        <w:t>年度一般公共预算项目支出全面开展绩效自评。</w:t>
      </w:r>
      <w:r>
        <w:rPr>
          <w:rFonts w:hint="eastAsia" w:ascii="仿宋_GB2312" w:eastAsia="仿宋_GB2312"/>
          <w:color w:val="auto"/>
          <w:sz w:val="32"/>
          <w:szCs w:val="32"/>
          <w:lang w:bidi="ar"/>
        </w:rPr>
        <w:t>项目</w:t>
      </w:r>
      <w:r>
        <w:rPr>
          <w:rFonts w:hint="eastAsia" w:ascii="仿宋_GB2312" w:eastAsia="仿宋_GB2312"/>
          <w:color w:val="auto"/>
          <w:sz w:val="32"/>
          <w:szCs w:val="32"/>
          <w:lang w:val="en-US" w:eastAsia="zh-CN" w:bidi="ar"/>
        </w:rPr>
        <w:t>44</w:t>
      </w:r>
      <w:r>
        <w:rPr>
          <w:rFonts w:hint="eastAsia" w:ascii="仿宋_GB2312" w:eastAsia="仿宋_GB2312"/>
          <w:color w:val="auto"/>
          <w:sz w:val="32"/>
          <w:szCs w:val="32"/>
          <w:lang w:bidi="ar"/>
        </w:rPr>
        <w:t>个，共涉及资金</w:t>
      </w:r>
      <w:r>
        <w:rPr>
          <w:rFonts w:hint="eastAsia" w:ascii="仿宋_GB2312" w:eastAsia="仿宋_GB2312"/>
          <w:color w:val="auto"/>
          <w:sz w:val="32"/>
          <w:szCs w:val="32"/>
          <w:lang w:val="en-US" w:eastAsia="zh-CN" w:bidi="ar"/>
        </w:rPr>
        <w:t>2070.54</w:t>
      </w:r>
      <w:r>
        <w:rPr>
          <w:rFonts w:hint="eastAsia" w:ascii="仿宋_GB2312" w:eastAsia="仿宋_GB2312"/>
          <w:color w:val="auto"/>
          <w:sz w:val="32"/>
          <w:szCs w:val="32"/>
          <w:lang w:bidi="ar"/>
        </w:rPr>
        <w:t>万元，占一般公共预算项目支出总额的</w:t>
      </w:r>
      <w:r>
        <w:rPr>
          <w:rFonts w:hint="eastAsia" w:ascii="仿宋_GB2312" w:eastAsia="仿宋_GB2312"/>
          <w:color w:val="auto"/>
          <w:sz w:val="32"/>
          <w:szCs w:val="32"/>
          <w:lang w:val="en-US" w:eastAsia="zh-CN" w:bidi="ar"/>
        </w:rPr>
        <w:t>50.24</w:t>
      </w:r>
      <w:r>
        <w:rPr>
          <w:rFonts w:hint="eastAsia" w:ascii="仿宋_GB2312" w:eastAsia="仿宋_GB2312"/>
          <w:color w:val="auto"/>
          <w:sz w:val="32"/>
          <w:szCs w:val="32"/>
          <w:lang w:bidi="ar"/>
        </w:rPr>
        <w:t>%。</w:t>
      </w:r>
    </w:p>
    <w:p w14:paraId="382F88B9">
      <w:pPr>
        <w:spacing w:line="578" w:lineRule="exact"/>
        <w:rPr>
          <w:rFonts w:hint="eastAsia" w:ascii="黑体" w:hAnsi="黑体" w:eastAsia="黑体" w:cs="黑体"/>
          <w:bCs/>
          <w:color w:val="auto"/>
          <w:sz w:val="32"/>
          <w:szCs w:val="32"/>
        </w:rPr>
      </w:pPr>
      <w:r>
        <w:rPr>
          <w:rFonts w:hint="eastAsia" w:ascii="黑体" w:hAnsi="黑体" w:eastAsia="黑体" w:cs="黑体"/>
          <w:b/>
          <w:bCs w:val="0"/>
          <w:color w:val="auto"/>
          <w:sz w:val="32"/>
          <w:szCs w:val="32"/>
          <w:lang w:eastAsia="zh-CN"/>
        </w:rPr>
        <w:t>十一．</w:t>
      </w:r>
      <w:r>
        <w:rPr>
          <w:rFonts w:hint="eastAsia" w:ascii="黑体" w:hAnsi="黑体" w:eastAsia="黑体" w:cs="黑体"/>
          <w:bCs/>
          <w:color w:val="auto"/>
          <w:sz w:val="32"/>
          <w:szCs w:val="32"/>
        </w:rPr>
        <w:t>其他重要事项情况说明</w:t>
      </w:r>
    </w:p>
    <w:p w14:paraId="0739BCB9">
      <w:pPr>
        <w:spacing w:line="578" w:lineRule="exact"/>
        <w:ind w:firstLine="320" w:firstLineChars="100"/>
        <w:rPr>
          <w:rFonts w:hint="eastAsia" w:ascii="楷体" w:hAnsi="楷体" w:eastAsia="楷体" w:cs="楷体"/>
          <w:bCs/>
          <w:color w:val="auto"/>
          <w:sz w:val="32"/>
          <w:szCs w:val="32"/>
          <w:lang w:eastAsia="zh-CN"/>
        </w:rPr>
      </w:pPr>
      <w:bookmarkStart w:id="23" w:name="_Toc6016_WPSOffice_Level2"/>
      <w:bookmarkStart w:id="24" w:name="_Toc19989_WPSOffice_Level2"/>
      <w:bookmarkStart w:id="25" w:name="_Toc527_WPSOffice_Level2"/>
      <w:bookmarkStart w:id="26" w:name="_Toc29584_WPSOffice_Level2"/>
      <w:bookmarkStart w:id="27" w:name="_Toc10902_WPSOffice_Level2"/>
      <w:bookmarkStart w:id="28" w:name="_Toc15129_WPSOffice_Level2"/>
      <w:r>
        <w:rPr>
          <w:rFonts w:hint="eastAsia" w:ascii="楷体" w:hAnsi="楷体" w:eastAsia="楷体" w:cs="楷体"/>
          <w:bCs/>
          <w:color w:val="auto"/>
          <w:sz w:val="32"/>
          <w:szCs w:val="32"/>
          <w:lang w:eastAsia="zh-CN"/>
        </w:rPr>
        <w:t>（一）资产情况</w:t>
      </w:r>
    </w:p>
    <w:p w14:paraId="16FCD8F3">
      <w:pPr>
        <w:spacing w:line="578" w:lineRule="exact"/>
        <w:ind w:firstLine="640" w:firstLineChars="200"/>
        <w:rPr>
          <w:rFonts w:hint="eastAsia" w:ascii="仿宋_GB2312" w:hAnsi="ˎ̥" w:eastAsia="仿宋_GB2312"/>
          <w:color w:val="auto"/>
          <w:sz w:val="32"/>
          <w:szCs w:val="32"/>
          <w:lang w:val="en-US" w:eastAsia="zh-CN"/>
        </w:rPr>
      </w:pPr>
      <w:r>
        <w:rPr>
          <w:rFonts w:hint="eastAsia" w:ascii="仿宋_GB2312" w:hAnsi="ˎ̥" w:eastAsia="仿宋_GB2312"/>
          <w:color w:val="auto"/>
          <w:sz w:val="32"/>
          <w:szCs w:val="32"/>
          <w:lang w:eastAsia="zh-CN"/>
        </w:rPr>
        <w:t>截至</w:t>
      </w:r>
      <w:r>
        <w:rPr>
          <w:rFonts w:hint="eastAsia" w:ascii="仿宋_GB2312" w:hAnsi="ˎ̥" w:eastAsia="仿宋_GB2312"/>
          <w:color w:val="auto"/>
          <w:sz w:val="32"/>
          <w:szCs w:val="32"/>
          <w:lang w:val="en-US" w:eastAsia="zh-CN"/>
        </w:rPr>
        <w:t>2023年12月31日，资产总额为3705529.11元，其中流动资产1280937.06元，非流动资产2424592.05元。</w:t>
      </w:r>
    </w:p>
    <w:p w14:paraId="42ECF15C">
      <w:pPr>
        <w:spacing w:line="578" w:lineRule="exact"/>
        <w:ind w:firstLine="320" w:firstLineChars="100"/>
        <w:rPr>
          <w:rFonts w:hint="eastAsia" w:ascii="楷体" w:hAnsi="楷体" w:eastAsia="楷体" w:cs="楷体"/>
          <w:bCs/>
          <w:color w:val="auto"/>
          <w:sz w:val="32"/>
          <w:szCs w:val="32"/>
        </w:rPr>
      </w:pPr>
      <w:r>
        <w:rPr>
          <w:rFonts w:hint="eastAsia" w:ascii="楷体" w:hAnsi="楷体" w:eastAsia="楷体" w:cs="楷体"/>
          <w:bCs/>
          <w:color w:val="auto"/>
          <w:sz w:val="32"/>
          <w:szCs w:val="32"/>
          <w:lang w:val="en-US" w:eastAsia="zh-CN"/>
        </w:rPr>
        <w:t xml:space="preserve">（二） </w:t>
      </w:r>
      <w:r>
        <w:rPr>
          <w:rFonts w:hint="eastAsia" w:ascii="楷体" w:hAnsi="楷体" w:eastAsia="楷体" w:cs="楷体"/>
          <w:bCs/>
          <w:color w:val="auto"/>
          <w:sz w:val="32"/>
          <w:szCs w:val="32"/>
        </w:rPr>
        <w:t>国有资产占用情况。</w:t>
      </w:r>
      <w:bookmarkEnd w:id="23"/>
      <w:bookmarkEnd w:id="24"/>
      <w:bookmarkEnd w:id="25"/>
      <w:bookmarkEnd w:id="26"/>
      <w:bookmarkEnd w:id="27"/>
      <w:bookmarkEnd w:id="28"/>
    </w:p>
    <w:p w14:paraId="196D6CAE">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sz w:val="32"/>
          <w:szCs w:val="32"/>
        </w:rPr>
      </w:pPr>
      <w:bookmarkStart w:id="29" w:name="_Toc17580_WPSOffice_Level1"/>
      <w:bookmarkStart w:id="30" w:name="_Toc8874_WPSOffice_Level1"/>
      <w:bookmarkStart w:id="31" w:name="_Toc11039_WPSOffice_Level1"/>
      <w:bookmarkStart w:id="32" w:name="_Toc15425_WPSOffice_Level1"/>
      <w:bookmarkStart w:id="33" w:name="_Toc4398_WPSOffice_Level1"/>
      <w:bookmarkStart w:id="34" w:name="_Toc8808_WPSOffice_Level1"/>
      <w:r>
        <w:rPr>
          <w:rFonts w:hint="eastAsia" w:ascii="仿宋_GB2312" w:hAnsi="仿宋_GB2312" w:eastAsia="仿宋_GB2312" w:cs="仿宋_GB2312"/>
          <w:sz w:val="32"/>
          <w:szCs w:val="32"/>
        </w:rPr>
        <w:t>截至202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年12月31日，本单位共有</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辆车，为主要领导干部用车1辆</w:t>
      </w:r>
      <w:r>
        <w:rPr>
          <w:rFonts w:hint="eastAsia" w:ascii="仿宋_GB2312" w:hAnsi="仿宋_GB2312" w:eastAsia="仿宋_GB2312" w:cs="仿宋_GB2312"/>
          <w:sz w:val="32"/>
          <w:szCs w:val="32"/>
          <w:lang w:eastAsia="zh-CN"/>
        </w:rPr>
        <w:t>，党校用车</w:t>
      </w:r>
      <w:r>
        <w:rPr>
          <w:rFonts w:hint="eastAsia" w:ascii="仿宋_GB2312" w:hAnsi="仿宋_GB2312" w:eastAsia="仿宋_GB2312" w:cs="仿宋_GB2312"/>
          <w:sz w:val="32"/>
          <w:szCs w:val="32"/>
          <w:lang w:val="en-US" w:eastAsia="zh-CN"/>
        </w:rPr>
        <w:t>1辆</w:t>
      </w:r>
      <w:r>
        <w:rPr>
          <w:rFonts w:hint="eastAsia" w:ascii="仿宋_GB2312" w:hAnsi="仿宋_GB2312" w:eastAsia="仿宋_GB2312" w:cs="仿宋_GB2312"/>
          <w:sz w:val="32"/>
          <w:szCs w:val="32"/>
        </w:rPr>
        <w:t>。</w:t>
      </w:r>
    </w:p>
    <w:p w14:paraId="65CA1281">
      <w:pPr>
        <w:spacing w:line="578" w:lineRule="exact"/>
        <w:jc w:val="both"/>
        <w:rPr>
          <w:rFonts w:hint="eastAsia" w:ascii="黑体" w:hAnsi="ˎ̥" w:eastAsia="黑体"/>
          <w:color w:val="auto"/>
          <w:sz w:val="32"/>
          <w:szCs w:val="32"/>
        </w:rPr>
      </w:pPr>
    </w:p>
    <w:p w14:paraId="0E22CB27">
      <w:pPr>
        <w:pStyle w:val="2"/>
        <w:rPr>
          <w:rFonts w:hint="eastAsia"/>
        </w:rPr>
      </w:pPr>
    </w:p>
    <w:p w14:paraId="5E9F7A5E">
      <w:pPr>
        <w:spacing w:line="578" w:lineRule="exact"/>
        <w:jc w:val="center"/>
        <w:rPr>
          <w:rFonts w:hint="eastAsia" w:ascii="黑体" w:hAnsi="ˎ̥" w:eastAsia="黑体"/>
          <w:color w:val="auto"/>
          <w:sz w:val="32"/>
          <w:szCs w:val="32"/>
        </w:rPr>
      </w:pPr>
      <w:r>
        <w:rPr>
          <w:rFonts w:hint="eastAsia" w:ascii="黑体" w:hAnsi="ˎ̥" w:eastAsia="黑体"/>
          <w:color w:val="auto"/>
          <w:sz w:val="32"/>
          <w:szCs w:val="32"/>
        </w:rPr>
        <w:t>第四部分  名词解释</w:t>
      </w:r>
      <w:bookmarkEnd w:id="29"/>
      <w:bookmarkEnd w:id="30"/>
      <w:bookmarkEnd w:id="31"/>
      <w:bookmarkEnd w:id="32"/>
      <w:bookmarkEnd w:id="33"/>
      <w:bookmarkEnd w:id="34"/>
    </w:p>
    <w:p w14:paraId="106786F5">
      <w:pPr>
        <w:spacing w:line="578" w:lineRule="exact"/>
        <w:jc w:val="center"/>
        <w:rPr>
          <w:rFonts w:hint="eastAsia" w:ascii="黑体" w:hAnsi="ˎ̥" w:eastAsia="黑体"/>
          <w:color w:val="auto"/>
          <w:sz w:val="32"/>
          <w:szCs w:val="32"/>
        </w:rPr>
      </w:pPr>
    </w:p>
    <w:p w14:paraId="6031F842">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lang w:eastAsia="zh-CN"/>
        </w:rPr>
        <w:t>一、</w:t>
      </w:r>
      <w:bookmarkStart w:id="35" w:name="_GoBack"/>
      <w:bookmarkEnd w:id="35"/>
      <w:r>
        <w:rPr>
          <w:rFonts w:hint="eastAsia" w:ascii="仿宋_GB2312" w:hAnsi="ˎ̥" w:eastAsia="仿宋_GB2312"/>
          <w:color w:val="auto"/>
          <w:sz w:val="32"/>
          <w:szCs w:val="32"/>
        </w:rPr>
        <w:t>财政拨款收入：指同级政府财政部门当年拨付的各类财政拨款。</w:t>
      </w:r>
    </w:p>
    <w:p w14:paraId="1EC76AD5">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二、上级补助收入：指事业单位从主管部门和上级单位取得的非财政补助收入。</w:t>
      </w:r>
    </w:p>
    <w:p w14:paraId="13701412">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三、事业收入：指事业单位开展专业业务活动及辅助活动取得的收入。</w:t>
      </w:r>
    </w:p>
    <w:p w14:paraId="0CDEF48E">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四、经营收入：指事业单位在专业业务活动及其辅助活动之外开展非独立核算经营活动取得的收入。</w:t>
      </w:r>
    </w:p>
    <w:p w14:paraId="5F445300">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五、附属单位上缴收入：指事业单位取得附属独立核算单位根据有关规定上缴的收入。</w:t>
      </w:r>
    </w:p>
    <w:p w14:paraId="1C02A4C6">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六、其他收入：指除上述“财政拨款收入”“事业收入”“上级补助收入”“经营收入”“附属单位上缴收入”等以外的收入。</w:t>
      </w:r>
    </w:p>
    <w:p w14:paraId="1ACFFFB2">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七、使用非财政拨款结余：指事业单位在当年的“财政拨款收入”“事业收入”“经营收入”“其他收入”等不足以安排当年支出的情况下，使用非同级财政拨款结余资金弥补本年度收支缺口。</w:t>
      </w:r>
    </w:p>
    <w:p w14:paraId="799F30B6">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八、年初结转和结余：指以前年度尚未完成、结转到本年按有关规定继续使用的资金，或项目已完成等产生的结余资金。</w:t>
      </w:r>
    </w:p>
    <w:p w14:paraId="32A1AB03">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九、结余分配：指事业单位缴纳企业所得税以及从非财政拨款结余或经营结余中提取各类结余的情况。</w:t>
      </w:r>
    </w:p>
    <w:p w14:paraId="69383C0B">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十、年末结转和结余：指本年度或以前年度预算安排、因客观条件发生变化无法按原计划实施，需要延迟到以后年度按有关规定继续使用的资金（不包括事业单位非财政拨款结余和专用结余）。</w:t>
      </w:r>
    </w:p>
    <w:p w14:paraId="16A82036">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十一、基本支出：指为保障机构正常运转、完成日常工作任务而发生的人员支出和公用支出。</w:t>
      </w:r>
    </w:p>
    <w:p w14:paraId="0FD0EDB2">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十二、项目支出：指在基本支出之外为完成特定行政任务和事业发展目标所发生的支出。</w:t>
      </w:r>
    </w:p>
    <w:p w14:paraId="2F1CD12D">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十三、经营支出：指事业单位在专业业务活动及其辅助活动之外开展非独立核算经营活动发生的支出。</w:t>
      </w:r>
    </w:p>
    <w:p w14:paraId="2488F42F">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十四、“三公”经费：纳入本级财</w:t>
      </w:r>
      <w:r>
        <w:rPr>
          <w:rFonts w:hint="eastAsia" w:ascii="仿宋_GB2312" w:hAnsi="ˎ̥" w:eastAsia="仿宋_GB2312"/>
          <w:color w:val="auto"/>
          <w:sz w:val="32"/>
          <w:szCs w:val="32"/>
          <w:lang w:val="en-US" w:eastAsia="zh-CN"/>
        </w:rPr>
        <w:t xml:space="preserve">  </w:t>
      </w:r>
      <w:r>
        <w:rPr>
          <w:rFonts w:hint="eastAsia" w:ascii="仿宋_GB2312" w:hAnsi="ˎ̥" w:eastAsia="仿宋_GB2312"/>
          <w:color w:val="auto"/>
          <w:sz w:val="32"/>
          <w:szCs w:val="32"/>
        </w:rPr>
        <w:t>政预决算管理的“三公”经费，是指用一般公共</w:t>
      </w:r>
      <w:r>
        <w:rPr>
          <w:rFonts w:hint="eastAsia" w:ascii="仿宋_GB2312" w:hAnsi="ˎ̥" w:eastAsia="仿宋_GB2312"/>
          <w:color w:val="auto"/>
          <w:sz w:val="32"/>
          <w:szCs w:val="32"/>
          <w:highlight w:val="none"/>
        </w:rPr>
        <w:t>预算财政拨款</w:t>
      </w:r>
      <w:r>
        <w:rPr>
          <w:rFonts w:hint="eastAsia" w:ascii="仿宋_GB2312" w:hAnsi="ˎ̥" w:eastAsia="仿宋_GB2312"/>
          <w:color w:val="auto"/>
          <w:sz w:val="32"/>
          <w:szCs w:val="32"/>
        </w:rPr>
        <w:t>、政府性基金预算财政拨款及国有资本经营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及燃料费、维修费、过路过桥费、保险费、安全奖励费用等支出；公务接待费反映单位按规定开支的各类公务接待（含外宾接待）费用。</w:t>
      </w:r>
    </w:p>
    <w:p w14:paraId="426091D6">
      <w:pPr>
        <w:spacing w:line="578" w:lineRule="exact"/>
        <w:ind w:firstLine="645"/>
        <w:rPr>
          <w:rFonts w:hint="eastAsia" w:ascii="仿宋_GB2312" w:hAnsi="ˎ̥" w:eastAsia="仿宋_GB2312"/>
          <w:color w:val="auto"/>
          <w:sz w:val="32"/>
          <w:szCs w:val="32"/>
        </w:rPr>
      </w:pPr>
      <w:r>
        <w:rPr>
          <w:rFonts w:hint="eastAsia" w:ascii="仿宋_GB2312" w:hAnsi="ˎ̥" w:eastAsia="仿宋_GB2312"/>
          <w:color w:val="auto"/>
          <w:sz w:val="32"/>
          <w:szCs w:val="32"/>
        </w:rPr>
        <w:t>十五、机关运行经费：为保障行政单位（含参照公务员法管理的事业单位）运行使用一般公共预算财政拨款安排的基本支出经费用于购买货物和服务的各项资金，包括办公及印刷费、邮电费、差旅费、会议费、福利费、日常维修费、专用材料及一般设备购置费、办公用房水电费、办公用房取暖费、办公用房物业管理费、公务用车运行维护费以及其他费用等。</w:t>
      </w:r>
    </w:p>
    <w:p w14:paraId="12EBABFF">
      <w:pPr>
        <w:spacing w:line="578" w:lineRule="exact"/>
        <w:rPr>
          <w:color w:val="auto"/>
        </w:rPr>
      </w:pPr>
    </w:p>
    <w:p w14:paraId="52D2BDB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ˎ̥">
    <w:altName w:val="微软雅黑"/>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kY2M2ODY5YWM1MjdmYTVhODA0Y2FlMGU4ZGVhM2IifQ=="/>
  </w:docVars>
  <w:rsids>
    <w:rsidRoot w:val="2E4509F6"/>
    <w:rsid w:val="0CB608DA"/>
    <w:rsid w:val="1E8F4082"/>
    <w:rsid w:val="2E4509F6"/>
    <w:rsid w:val="3D122BC1"/>
    <w:rsid w:val="56FD19CC"/>
    <w:rsid w:val="5E6076EC"/>
    <w:rsid w:val="693D3D09"/>
    <w:rsid w:val="6A2D0297"/>
    <w:rsid w:val="6BB77904"/>
    <w:rsid w:val="76805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2"/>
    <w:basedOn w:val="1"/>
    <w:next w:val="1"/>
    <w:link w:val="12"/>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spacing w:after="0"/>
      <w:ind w:left="0" w:leftChars="0" w:firstLine="420" w:firstLineChars="200"/>
    </w:pPr>
    <w:rPr>
      <w:rFonts w:ascii="Calibri" w:hAnsi="Calibri" w:eastAsia="宋体" w:cs="Times New Roman"/>
      <w:szCs w:val="24"/>
    </w:rPr>
  </w:style>
  <w:style w:type="paragraph" w:styleId="3">
    <w:name w:val="Body Text Indent"/>
    <w:basedOn w:val="1"/>
    <w:next w:val="4"/>
    <w:unhideWhenUsed/>
    <w:qFormat/>
    <w:uiPriority w:val="99"/>
    <w:pPr>
      <w:spacing w:after="120"/>
      <w:ind w:left="420" w:leftChars="200"/>
    </w:pPr>
  </w:style>
  <w:style w:type="paragraph" w:styleId="4">
    <w:name w:val="footer"/>
    <w:basedOn w:val="1"/>
    <w:next w:val="1"/>
    <w:qFormat/>
    <w:uiPriority w:val="0"/>
    <w:pPr>
      <w:tabs>
        <w:tab w:val="center" w:pos="4153"/>
        <w:tab w:val="right" w:pos="8306"/>
      </w:tabs>
      <w:snapToGrid w:val="0"/>
      <w:jc w:val="left"/>
    </w:pPr>
    <w:rPr>
      <w:sz w:val="18"/>
      <w:szCs w:val="18"/>
    </w:rPr>
  </w:style>
  <w:style w:type="paragraph" w:styleId="5">
    <w:name w:val="toc 3"/>
    <w:basedOn w:val="1"/>
    <w:next w:val="1"/>
    <w:unhideWhenUsed/>
    <w:qFormat/>
    <w:uiPriority w:val="39"/>
    <w:pPr>
      <w:ind w:left="840" w:leftChars="400"/>
    </w:pPr>
  </w:style>
  <w:style w:type="character" w:styleId="9">
    <w:name w:val="page number"/>
    <w:qFormat/>
    <w:uiPriority w:val="0"/>
  </w:style>
  <w:style w:type="paragraph" w:customStyle="1" w:styleId="10">
    <w:name w:val="WPSOffice手动目录 1"/>
    <w:qFormat/>
    <w:uiPriority w:val="0"/>
    <w:rPr>
      <w:rFonts w:ascii="Times New Roman" w:hAnsi="Times New Roman" w:eastAsia="宋体" w:cs="Times New Roman"/>
      <w:lang w:val="en-US" w:eastAsia="zh-CN" w:bidi="ar-SA"/>
    </w:rPr>
  </w:style>
  <w:style w:type="paragraph" w:customStyle="1" w:styleId="11">
    <w:name w:val="WPSOffice手动目录 2"/>
    <w:qFormat/>
    <w:uiPriority w:val="0"/>
    <w:pPr>
      <w:ind w:leftChars="200"/>
    </w:pPr>
    <w:rPr>
      <w:rFonts w:ascii="Times New Roman" w:hAnsi="Times New Roman" w:eastAsia="宋体" w:cs="Times New Roman"/>
      <w:lang w:val="en-US" w:eastAsia="zh-CN" w:bidi="ar-SA"/>
    </w:rPr>
  </w:style>
  <w:style w:type="character" w:customStyle="1" w:styleId="12">
    <w:name w:val="标题 2 Char"/>
    <w:link w:val="6"/>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3114</Words>
  <Characters>3494</Characters>
  <Lines>0</Lines>
  <Paragraphs>0</Paragraphs>
  <TotalTime>16</TotalTime>
  <ScaleCrop>false</ScaleCrop>
  <LinksUpToDate>false</LinksUpToDate>
  <CharactersWithSpaces>3513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2024-11-19T12:33:00Z</dcterms:created>
  <dc:creator>墨脱县委组织部</dc:creator>
  <cp:lastModifiedBy>Administrator</cp:lastModifiedBy>
  <cp:lastPrinted>2024-11-20T07:33:00Z</cp:lastPrinted>
  <dcterms:modified xsi:type="dcterms:W3CDTF">2024-11-22T04:04:48Z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A0340CE669F040188D489B467FBAB4EE_13</vt:lpwstr>
  </property>
</Properties>
</file>