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EC2B0">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44"/>
          <w:szCs w:val="44"/>
        </w:rPr>
      </w:pPr>
      <w:r>
        <w:rPr>
          <w:rFonts w:hint="eastAsia" w:ascii="黑体" w:hAnsi="ˎ̥" w:eastAsia="黑体"/>
          <w:sz w:val="44"/>
          <w:szCs w:val="44"/>
        </w:rPr>
        <w:t>墨脱县</w:t>
      </w:r>
      <w:r>
        <w:rPr>
          <w:rFonts w:hint="eastAsia" w:ascii="黑体" w:hAnsi="ˎ̥" w:eastAsia="黑体"/>
          <w:sz w:val="44"/>
          <w:szCs w:val="44"/>
          <w:lang w:eastAsia="zh-CN"/>
        </w:rPr>
        <w:t>委</w:t>
      </w:r>
      <w:r>
        <w:rPr>
          <w:rFonts w:hint="eastAsia" w:ascii="黑体" w:hAnsi="ˎ̥" w:eastAsia="黑体"/>
          <w:sz w:val="44"/>
          <w:szCs w:val="44"/>
        </w:rPr>
        <w:t>统战部202</w:t>
      </w:r>
      <w:r>
        <w:rPr>
          <w:rFonts w:ascii="黑体" w:hAnsi="ˎ̥" w:eastAsia="黑体"/>
          <w:sz w:val="44"/>
          <w:szCs w:val="44"/>
        </w:rPr>
        <w:t>3</w:t>
      </w:r>
      <w:r>
        <w:rPr>
          <w:rFonts w:hint="eastAsia" w:ascii="黑体" w:hAnsi="ˎ̥" w:eastAsia="黑体"/>
          <w:sz w:val="44"/>
          <w:szCs w:val="44"/>
        </w:rPr>
        <w:t>年度部门决算公开</w:t>
      </w:r>
      <w:r>
        <w:rPr>
          <w:rFonts w:ascii="黑体" w:hAnsi="ˎ̥" w:eastAsia="黑体"/>
          <w:sz w:val="44"/>
          <w:szCs w:val="44"/>
        </w:rPr>
        <w:t>报告</w:t>
      </w:r>
    </w:p>
    <w:p w14:paraId="548582FE">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b/>
          <w:sz w:val="32"/>
          <w:szCs w:val="32"/>
        </w:rPr>
      </w:pPr>
    </w:p>
    <w:p w14:paraId="1E58F050">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0A489AD5">
      <w:pPr>
        <w:pStyle w:val="15"/>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sz w:val="32"/>
          <w:szCs w:val="32"/>
        </w:rPr>
      </w:pPr>
      <w: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7922AD6B">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1232FF7C">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7D265EED">
      <w:pPr>
        <w:pStyle w:val="15"/>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sz w:val="32"/>
          <w:szCs w:val="32"/>
        </w:rPr>
      </w:pPr>
      <w: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4502B7F6">
      <w:pPr>
        <w:pStyle w:val="15"/>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sz w:val="32"/>
          <w:szCs w:val="32"/>
        </w:rPr>
      </w:pPr>
      <w: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46FD1CEA">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5CDF0BE5">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27CA0F7">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3DC204B5">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5003333">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7D59CF59">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3B69F208">
      <w:pPr>
        <w:pStyle w:val="16"/>
        <w:keepNext w:val="0"/>
        <w:keepLines w:val="0"/>
        <w:pageBreakBefore w:val="0"/>
        <w:numPr>
          <w:ilvl w:val="0"/>
          <w:numId w:val="0"/>
        </w:numPr>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bCs/>
          <w:sz w:val="32"/>
          <w:szCs w:val="32"/>
          <w:lang w:eastAsia="zh-CN"/>
        </w:rPr>
        <w:t>七、</w:t>
      </w: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6C327D2B">
      <w:pPr>
        <w:pStyle w:val="16"/>
        <w:keepNext w:val="0"/>
        <w:keepLines w:val="0"/>
        <w:pageBreakBefore w:val="0"/>
        <w:numPr>
          <w:ilvl w:val="0"/>
          <w:numId w:val="0"/>
        </w:numPr>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rPr>
          <w:rFonts w:hint="eastAsia" w:ascii="仿宋" w:hAnsi="仿宋" w:eastAsia="仿宋" w:cs="仿宋"/>
          <w:bCs/>
          <w:sz w:val="32"/>
          <w:szCs w:val="32"/>
          <w:lang w:eastAsia="zh-CN"/>
        </w:rPr>
        <w:t>八、</w:t>
      </w: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2C34E406">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8E8A47B">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D5C7044">
      <w:pPr>
        <w:pStyle w:val="16"/>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232CFBEF">
      <w:pPr>
        <w:pStyle w:val="15"/>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ˎ̥"/>
          <w:b/>
          <w:sz w:val="32"/>
          <w:szCs w:val="32"/>
        </w:rPr>
      </w:pPr>
      <w: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54020FB">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ˎ̥" w:eastAsia="黑体"/>
          <w:sz w:val="32"/>
          <w:szCs w:val="32"/>
        </w:rPr>
      </w:pPr>
      <w:bookmarkStart w:id="2" w:name="_Toc32433_WPSOffice_Level1"/>
      <w:bookmarkStart w:id="3" w:name="_Toc10720_WPSOffice_Level1"/>
      <w:bookmarkStart w:id="4" w:name="_Toc22941_WPSOffice_Level1"/>
      <w:bookmarkStart w:id="5" w:name="_Toc1704_WPSOffice_Level1"/>
      <w:bookmarkStart w:id="6" w:name="_Toc10049_WPSOffice_Level1"/>
      <w:bookmarkStart w:id="7" w:name="_Toc23465_WPSOffice_Level1"/>
      <w:bookmarkStart w:id="8" w:name="_Toc24238_WPSOffice_Level2"/>
      <w:bookmarkStart w:id="9" w:name="_Toc32622_WPSOffice_Level2"/>
      <w:bookmarkStart w:id="10" w:name="_Toc20274_WPSOffice_Level2"/>
      <w:bookmarkStart w:id="11" w:name="_Toc26580_WPSOffice_Level2"/>
      <w:bookmarkStart w:id="12" w:name="_Toc20205_WPSOffice_Level2"/>
      <w:bookmarkStart w:id="13" w:name="_Toc14159_WPSOffice_Level2"/>
    </w:p>
    <w:p w14:paraId="6462FF0B">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ˎ̥" w:eastAsia="黑体"/>
          <w:sz w:val="32"/>
          <w:szCs w:val="32"/>
        </w:rPr>
      </w:pPr>
    </w:p>
    <w:p w14:paraId="10975403">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470F739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p>
    <w:p w14:paraId="0032FD47">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3B128B00">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贯彻落实加强党对统一战线工作集中统一领导的要求，为县委发挥统战工作方面参谋机构、组织协调机构、具体执行机构、督促检查机构作用。协调全县统一战线各方面关系，贯彻落实党中央和区党委、</w:t>
      </w:r>
      <w:r>
        <w:rPr>
          <w:rFonts w:hint="eastAsia" w:ascii="Times New Roman" w:hAnsi="Times New Roman" w:eastAsia="仿宋_GB2312" w:cs="仿宋_GB2312"/>
          <w:color w:val="auto"/>
          <w:sz w:val="32"/>
          <w:szCs w:val="32"/>
          <w:u w:val="none"/>
        </w:rPr>
        <w:t>市委及</w:t>
      </w:r>
      <w:r>
        <w:rPr>
          <w:rFonts w:hint="eastAsia" w:ascii="Times New Roman" w:hAnsi="Times New Roman" w:eastAsia="仿宋_GB2312" w:cs="仿宋_GB2312"/>
          <w:color w:val="000000"/>
          <w:sz w:val="32"/>
          <w:szCs w:val="32"/>
        </w:rPr>
        <w:t>县委关于统一战线工作的决策部署，巩固壮大最广泛的统一战线。</w:t>
      </w:r>
    </w:p>
    <w:p w14:paraId="4E40D759">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研究拟订统一战线工作理论、政策并推动落实，深入调查研究，向县委全面反映全县统一战线情况，提出开展统战工作的意见建议。</w:t>
      </w:r>
    </w:p>
    <w:p w14:paraId="332BE481">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发现、培养党外代表人士，负责党外人士政治安排，提出安排意见建议，会同有关部门做好党外人士担任政府和司法机关等领导职务的工作，反映和协调解决党外代表人士工作生活中的实际困难。</w:t>
      </w:r>
    </w:p>
    <w:p w14:paraId="21584E7D">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贯彻落实党的宣传工作方针，统筹全县统一战线宣传工作，拟订宣传工作规划和措施并组织实施，会同有关部门开展全县统一战线对外宣传工作，研判涉及统一战线的舆情并协调有关部门应对处置。</w:t>
      </w:r>
    </w:p>
    <w:p w14:paraId="007AEB11">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贯彻落实中国共产党领导的多党合作和政治协商制度，为县委同党外代表人士进行政治协商做好组织联系工作，支持党外代表人士更好发挥参政议政和民主监督作用。</w:t>
      </w:r>
    </w:p>
    <w:p w14:paraId="4E5AA117">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6.</w:t>
      </w:r>
      <w:r>
        <w:rPr>
          <w:rFonts w:hint="eastAsia" w:ascii="Times New Roman" w:hAnsi="Times New Roman" w:eastAsia="仿宋_GB2312" w:cs="仿宋_GB2312"/>
          <w:color w:val="000000"/>
          <w:sz w:val="32"/>
          <w:szCs w:val="32"/>
        </w:rPr>
        <w:t>贯彻落实党的民族工作方针，研究拟订全县民族工作的政策和重大措施，协调处理民族工作中的重大问题，牵头开展统一多民族国情教育和民族团结进步创建活动，联系、培养少数民族代表人士，根据分工做好少数民族干部工作，全面促进民族事业发展。</w:t>
      </w:r>
    </w:p>
    <w:p w14:paraId="03D7CF83">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7</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调查研究全县党外知识分子和新的社会阶层人士情况并提出政策建议，联系、培养党外知识分子和新的社会阶层代表人士，开展思想政治工作，指导推动开展党外知识分子和新的社会阶层人士统战工作。做好归国留学人员有关工作。</w:t>
      </w:r>
    </w:p>
    <w:p w14:paraId="00B5A1B1">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8</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参与制定、推动落实鼓励支持引导全县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6D316998">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9</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贯彻落实党的侨务工作方针政策，统一管理全县侨务工作，依法管理侨务行政事务，组织协调、督促检查侨务工作政策和规划落实情况，保护华侨和归侨侨眷（藏胞和归国藏胞眷属）在县内的合法权益。</w:t>
      </w:r>
    </w:p>
    <w:p w14:paraId="004EFEA4">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10</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开展以反对分裂、维护祖国统一和民族团结为重点的境外统战工作，负责境外藏胞工作，争取境外藏胞心向祖国，推动西藏先进文化传播和对外交流。</w:t>
      </w:r>
    </w:p>
    <w:p w14:paraId="4009AF50">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FF0000"/>
          <w:sz w:val="32"/>
          <w:szCs w:val="32"/>
          <w:u w:val="single"/>
        </w:rPr>
      </w:pPr>
      <w:r>
        <w:rPr>
          <w:rFonts w:hint="eastAsia" w:ascii="Times New Roman" w:hAnsi="Times New Roman" w:eastAsia="仿宋_GB2312" w:cs="仿宋_GB2312"/>
          <w:color w:val="000000"/>
          <w:sz w:val="32"/>
          <w:szCs w:val="32"/>
          <w:u w:val="none"/>
          <w:lang w:val="en-US" w:eastAsia="zh-CN"/>
        </w:rPr>
        <w:t>1</w:t>
      </w:r>
      <w:r>
        <w:rPr>
          <w:rFonts w:hint="eastAsia" w:eastAsia="仿宋_GB2312" w:cs="仿宋_GB2312"/>
          <w:color w:val="000000"/>
          <w:sz w:val="32"/>
          <w:szCs w:val="32"/>
          <w:u w:val="none"/>
          <w:lang w:val="en-US" w:eastAsia="zh-CN"/>
        </w:rPr>
        <w:t>1</w:t>
      </w:r>
      <w:r>
        <w:rPr>
          <w:rFonts w:hint="eastAsia" w:ascii="Times New Roman" w:hAnsi="Times New Roman" w:eastAsia="仿宋_GB2312" w:cs="仿宋_GB2312"/>
          <w:color w:val="000000"/>
          <w:sz w:val="32"/>
          <w:szCs w:val="32"/>
          <w:u w:val="none"/>
          <w:lang w:val="en-US" w:eastAsia="zh-CN"/>
        </w:rPr>
        <w:t>.</w:t>
      </w:r>
      <w:r>
        <w:rPr>
          <w:rFonts w:hint="eastAsia" w:ascii="Times New Roman" w:hAnsi="Times New Roman" w:eastAsia="仿宋_GB2312" w:cs="仿宋_GB2312"/>
          <w:color w:val="000000"/>
          <w:sz w:val="32"/>
          <w:szCs w:val="32"/>
          <w:u w:val="none"/>
        </w:rPr>
        <w:t>积极协助上级统战部门开展台湾统战工作，根据要求做好与台湾有关党派、团体及代表人士交往交流工作，做好台胞、台属有关工作。</w:t>
      </w:r>
    </w:p>
    <w:p w14:paraId="2D8CEA2D">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统筹协调指导全县各乡（镇）、各部门各单位统一战线工作，协助做好民族、宗教等部门领导班子成员推荐工作，协助管理各乡（镇）统战委员。受县委委托，</w:t>
      </w:r>
      <w:r>
        <w:rPr>
          <w:rFonts w:hint="eastAsia" w:ascii="Times New Roman" w:hAnsi="Times New Roman" w:eastAsia="仿宋_GB2312" w:cs="仿宋_GB2312"/>
          <w:color w:val="auto"/>
          <w:sz w:val="32"/>
          <w:szCs w:val="32"/>
          <w:u w:val="none"/>
        </w:rPr>
        <w:t>领导县工商联，</w:t>
      </w:r>
      <w:r>
        <w:rPr>
          <w:rFonts w:hint="eastAsia" w:ascii="Times New Roman" w:hAnsi="Times New Roman" w:eastAsia="仿宋_GB2312" w:cs="仿宋_GB2312"/>
          <w:color w:val="000000"/>
          <w:sz w:val="32"/>
          <w:szCs w:val="32"/>
        </w:rPr>
        <w:t>指导工商联工作；做好统一战线有关单位和团体的管理工作。</w:t>
      </w:r>
    </w:p>
    <w:p w14:paraId="58B6E23C">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监督检查宗教工作政策和法律法规执行情况、加强和创新寺庙管理相关政策措施落实情况、宗教领域行政执法情况等，负责指导、监督、检查宗教团体、宗教院校、宗教活动场所及宗教教职人员依法依章开展活动，指导本行业领域安全生产监管和应急处置工作等。</w:t>
      </w:r>
    </w:p>
    <w:p w14:paraId="124A40C1">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拟订、实施“兴边富民行动”专项规划。参与编制扶持人口较少民族事业发展专项规划。协同有关部门管理少数民族发展资金及民族工作经费等。参与拟订涉及民族工作方面经济、文化、教育、科技、卫生、体育等事业发展的方针、政策和规划。研究分析涉及民族工作方面经济发展、社会事业等问题并提出政策建议。</w:t>
      </w:r>
    </w:p>
    <w:p w14:paraId="550D1DA1">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负责民族政策、法律法规、民族基本知识的宣传普及和民族团结进步创建工作，承办民族团结进步表彰活动。加强各民族交往交流交融，铸牢中华民族共同体意识。</w:t>
      </w:r>
    </w:p>
    <w:p w14:paraId="65A646B4">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eastAsia="仿宋_GB2312" w:cs="仿宋_GB2312"/>
          <w:color w:val="000000"/>
          <w:sz w:val="32"/>
          <w:szCs w:val="32"/>
          <w:lang w:val="en-US" w:eastAsia="zh-CN"/>
        </w:rPr>
        <w:t>6</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依法管理民族事务，指导、协调有关方面履行民族工作职责。负责民族领域社会稳定工作，参与协调处理民族工作中的重大问题。</w:t>
      </w:r>
    </w:p>
    <w:p w14:paraId="4C95819D">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17</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承担民族宗教事务管理信息化建设。推进落实民族宗教事务服务体系。加强社会和网络民族宗教事务管理，遏制藏传佛教向内地蔓延。</w:t>
      </w:r>
    </w:p>
    <w:p w14:paraId="768C59D0">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18</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承办民族宗教工作领域有关对外交流合作，协助有关部门做好涉及民族宗教事务的外事外宣工作。</w:t>
      </w:r>
    </w:p>
    <w:p w14:paraId="5FA73B4D">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19</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加强宗教领域爱国主义、社会主义教育和法治宣传教育，</w:t>
      </w:r>
      <w:r>
        <w:rPr>
          <w:rFonts w:hint="eastAsia" w:ascii="Times New Roman" w:hAnsi="Times New Roman" w:eastAsia="仿宋_GB2312" w:cs="仿宋_GB2312"/>
          <w:color w:val="000000"/>
          <w:sz w:val="32"/>
          <w:szCs w:val="32"/>
          <w:u w:val="none"/>
        </w:rPr>
        <w:t>组织开展宗教领域表彰、奖励等活动。</w:t>
      </w:r>
    </w:p>
    <w:p w14:paraId="14C3F2F4">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20</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指导乡（镇）民族宗教事务工作。</w:t>
      </w:r>
    </w:p>
    <w:p w14:paraId="423EBD0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21</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完成县委、</w:t>
      </w:r>
      <w:r>
        <w:rPr>
          <w:rFonts w:hint="eastAsia" w:eastAsia="仿宋_GB2312" w:cs="仿宋_GB2312"/>
          <w:color w:val="000000"/>
          <w:sz w:val="32"/>
          <w:szCs w:val="32"/>
          <w:lang w:eastAsia="zh-CN"/>
        </w:rPr>
        <w:t>县</w:t>
      </w:r>
      <w:r>
        <w:rPr>
          <w:rFonts w:hint="eastAsia" w:ascii="Times New Roman" w:hAnsi="Times New Roman" w:eastAsia="仿宋_GB2312" w:cs="仿宋_GB2312"/>
          <w:color w:val="000000"/>
          <w:sz w:val="32"/>
          <w:szCs w:val="32"/>
        </w:rPr>
        <w:t>政府交办的其他任务。</w:t>
      </w:r>
    </w:p>
    <w:p w14:paraId="13119537">
      <w:pPr>
        <w:keepNext w:val="0"/>
        <w:keepLines w:val="0"/>
        <w:pageBreakBefore w:val="0"/>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p>
    <w:p w14:paraId="17B50705">
      <w:pPr>
        <w:keepNext w:val="0"/>
        <w:keepLines w:val="0"/>
        <w:pageBreakBefore w:val="0"/>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p>
    <w:p w14:paraId="13A8A6D7">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sz w:val="32"/>
          <w:szCs w:val="32"/>
        </w:rPr>
      </w:pPr>
      <w:bookmarkStart w:id="14" w:name="_Toc24474_WPSOffice_Level2"/>
      <w:bookmarkStart w:id="15" w:name="_Toc4833_WPSOffice_Level2"/>
      <w:bookmarkStart w:id="16" w:name="_Toc6572_WPSOffice_Level2"/>
      <w:bookmarkStart w:id="17" w:name="_Toc24059_WPSOffice_Level2"/>
      <w:bookmarkStart w:id="18" w:name="_Toc17796_WPSOffice_Level2"/>
      <w:r>
        <w:rPr>
          <w:rFonts w:hint="eastAsia" w:ascii="黑体" w:hAnsi="黑体" w:eastAsia="黑体" w:cs="黑体"/>
          <w:sz w:val="32"/>
          <w:szCs w:val="32"/>
        </w:rPr>
        <w:t>机构设置</w:t>
      </w:r>
      <w:bookmarkEnd w:id="14"/>
      <w:bookmarkEnd w:id="15"/>
      <w:bookmarkEnd w:id="16"/>
      <w:bookmarkEnd w:id="17"/>
      <w:bookmarkEnd w:id="18"/>
    </w:p>
    <w:p w14:paraId="6EEAC9C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中共墨脱县委员会统一战线工作部是县委主管统一战线工作的工作机关，为正科级，统一领导民族宗教工作。县民族宗教事务局列政府工作部门序列，与县委统战部合署办</w:t>
      </w:r>
      <w:r>
        <w:rPr>
          <w:rFonts w:hint="eastAsia" w:ascii="Times New Roman" w:hAnsi="Times New Roman" w:eastAsia="仿宋_GB2312" w:cs="仿宋_GB2312"/>
          <w:color w:val="000000"/>
          <w:sz w:val="32"/>
          <w:szCs w:val="32"/>
          <w:lang w:eastAsia="zh-CN"/>
        </w:rPr>
        <w:t>。</w:t>
      </w:r>
    </w:p>
    <w:p w14:paraId="550B6DD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lang w:eastAsia="zh-CN"/>
        </w:rPr>
      </w:pPr>
    </w:p>
    <w:p w14:paraId="44A3D6EC">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bookmarkStart w:id="19" w:name="_Toc6234_WPSOffice_Level1"/>
      <w:bookmarkStart w:id="20" w:name="_Toc8164_WPSOffice_Level1"/>
      <w:bookmarkStart w:id="21" w:name="_Toc15521_WPSOffice_Level1"/>
      <w:bookmarkStart w:id="22" w:name="_Toc30451_WPSOffice_Level1"/>
      <w:bookmarkStart w:id="23" w:name="_Toc30690_WPSOffice_Level1"/>
      <w:bookmarkStart w:id="24" w:name="_Toc28253_WPSOffice_Level1"/>
      <w:bookmarkStart w:id="25" w:name="_Toc4029_WPSOffice_Level2"/>
      <w:bookmarkStart w:id="26" w:name="_Toc32472_WPSOffice_Level2"/>
      <w:bookmarkStart w:id="27" w:name="_Toc32695_WPSOffice_Level2"/>
      <w:bookmarkStart w:id="28" w:name="_Toc8867_WPSOffice_Level2"/>
      <w:bookmarkStart w:id="29" w:name="_Toc11518_WPSOffice_Level2"/>
      <w:bookmarkStart w:id="30" w:name="_Toc6211_WPSOffice_Level2"/>
    </w:p>
    <w:p w14:paraId="4D3AB11B">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48B64AF2">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378AFD6B">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651FD0EB">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6C2BF755">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年度部门决算公开报表</w:t>
      </w:r>
      <w:bookmarkEnd w:id="19"/>
      <w:bookmarkEnd w:id="20"/>
      <w:bookmarkEnd w:id="21"/>
      <w:bookmarkEnd w:id="22"/>
      <w:bookmarkEnd w:id="23"/>
      <w:bookmarkEnd w:id="24"/>
    </w:p>
    <w:p w14:paraId="3DB67417">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40E35F85">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4027758F">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黑体" w:hAnsi="黑体" w:eastAsia="黑体" w:cs="黑体"/>
          <w:sz w:val="32"/>
          <w:szCs w:val="32"/>
        </w:rPr>
      </w:pPr>
      <w:bookmarkStart w:id="31" w:name="_Toc25608_WPSOffice_Level2"/>
      <w:bookmarkStart w:id="32" w:name="_Toc28622_WPSOffice_Level2"/>
      <w:bookmarkStart w:id="33" w:name="_Toc14349_WPSOffice_Level2"/>
      <w:bookmarkStart w:id="34" w:name="_Toc30334_WPSOffice_Level2"/>
      <w:bookmarkStart w:id="35" w:name="_Toc26621_WPSOffice_Level2"/>
      <w:bookmarkStart w:id="36" w:name="_Toc23139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13854_WPSOffice_Level2"/>
      <w:bookmarkStart w:id="39" w:name="_Toc14658_WPSOffice_Level2"/>
      <w:bookmarkStart w:id="40" w:name="_Toc17626_WPSOffice_Level2"/>
      <w:bookmarkStart w:id="41" w:name="_Toc3262_WPSOffice_Level2"/>
      <w:bookmarkStart w:id="42" w:name="_Toc5489_WPSOffice_Level2"/>
    </w:p>
    <w:p w14:paraId="6D3850FD">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4265_WPSOffice_Level2"/>
      <w:bookmarkStart w:id="44" w:name="_Toc7988_WPSOffice_Level2"/>
      <w:bookmarkStart w:id="45" w:name="_Toc13701_WPSOffice_Level2"/>
      <w:bookmarkStart w:id="46" w:name="_Toc23493_WPSOffice_Level2"/>
      <w:bookmarkStart w:id="47" w:name="_Toc23591_WPSOffice_Level2"/>
      <w:bookmarkStart w:id="48" w:name="_Toc21415_WPSOffice_Level2"/>
    </w:p>
    <w:p w14:paraId="006BA7AA">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1DD18315">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黑体" w:hAnsi="黑体" w:eastAsia="黑体" w:cs="黑体"/>
          <w:sz w:val="32"/>
          <w:szCs w:val="32"/>
        </w:rPr>
      </w:pPr>
      <w:bookmarkStart w:id="49" w:name="_Toc22783_WPSOffice_Level2"/>
      <w:bookmarkStart w:id="50" w:name="_Toc25166_WPSOffice_Level2"/>
      <w:bookmarkStart w:id="51" w:name="_Toc7879_WPSOffice_Level2"/>
      <w:bookmarkStart w:id="52" w:name="_Toc23829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25362_WPSOffice_Level2"/>
      <w:bookmarkStart w:id="56" w:name="_Toc2632_WPSOffice_Level2"/>
      <w:bookmarkStart w:id="57" w:name="_Toc5343_WPSOffice_Level2"/>
      <w:bookmarkStart w:id="58" w:name="_Toc8373_WPSOffice_Level2"/>
      <w:bookmarkStart w:id="59" w:name="_Toc17833_WPSOffice_Level2"/>
      <w:bookmarkStart w:id="60" w:name="_Toc17283_WPSOffice_Level2"/>
    </w:p>
    <w:p w14:paraId="7EDC74DE">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702FDDF6">
      <w:pPr>
        <w:keepNext w:val="0"/>
        <w:keepLines w:val="0"/>
        <w:pageBreakBefore w:val="0"/>
        <w:kinsoku/>
        <w:wordWrap/>
        <w:overflowPunct/>
        <w:topLinePunct w:val="0"/>
        <w:autoSpaceDE/>
        <w:autoSpaceDN/>
        <w:bidi w:val="0"/>
        <w:adjustRightInd/>
        <w:snapToGrid/>
        <w:spacing w:line="576" w:lineRule="exact"/>
        <w:ind w:left="1118" w:leftChars="304" w:hanging="480" w:hangingChars="150"/>
        <w:textAlignment w:val="auto"/>
        <w:rPr>
          <w:rFonts w:hint="eastAsia" w:ascii="黑体" w:hAnsi="黑体" w:eastAsia="黑体" w:cs="黑体"/>
          <w:sz w:val="32"/>
          <w:szCs w:val="32"/>
        </w:rPr>
      </w:pPr>
      <w:bookmarkStart w:id="61" w:name="_Toc1533_WPSOffice_Level2"/>
      <w:bookmarkStart w:id="62" w:name="_Toc5594_WPSOffice_Level2"/>
      <w:bookmarkStart w:id="63" w:name="_Toc21310_WPSOffice_Level2"/>
      <w:bookmarkStart w:id="64" w:name="_Toc11799_WPSOffice_Level2"/>
      <w:bookmarkStart w:id="65" w:name="_Toc6020_WPSOffice_Level2"/>
      <w:bookmarkStart w:id="66" w:name="_Toc13345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69C8D73B">
      <w:pPr>
        <w:keepNext w:val="0"/>
        <w:keepLines w:val="0"/>
        <w:pageBreakBefore w:val="0"/>
        <w:kinsoku/>
        <w:wordWrap/>
        <w:overflowPunct/>
        <w:topLinePunct w:val="0"/>
        <w:autoSpaceDE/>
        <w:autoSpaceDN/>
        <w:bidi w:val="0"/>
        <w:adjustRightInd/>
        <w:snapToGrid/>
        <w:spacing w:line="576" w:lineRule="exact"/>
        <w:ind w:left="1118" w:leftChars="304" w:hanging="480" w:hangingChars="150"/>
        <w:textAlignment w:val="auto"/>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0EBB703F">
      <w:pPr>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sz w:val="32"/>
          <w:szCs w:val="32"/>
        </w:rPr>
      </w:pPr>
      <w:bookmarkStart w:id="67" w:name="_Toc1820_WPSOffice_Level2"/>
      <w:bookmarkStart w:id="68" w:name="_Toc9377_WPSOffice_Level2"/>
      <w:bookmarkStart w:id="69" w:name="_Toc19961_WPSOffice_Level2"/>
      <w:bookmarkStart w:id="70" w:name="_Toc29886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023920CD">
      <w:pPr>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w w:val="96"/>
          <w:sz w:val="32"/>
          <w:szCs w:val="32"/>
        </w:rPr>
      </w:pPr>
      <w:r>
        <w:rPr>
          <w:rFonts w:hint="eastAsia" w:ascii="黑体" w:hAnsi="黑体" w:eastAsia="黑体" w:cs="黑体"/>
          <w:w w:val="96"/>
          <w:sz w:val="32"/>
          <w:szCs w:val="32"/>
        </w:rPr>
        <w:t xml:space="preserve">以上报表见附件1。   </w:t>
      </w:r>
    </w:p>
    <w:p w14:paraId="7F6F6932">
      <w:pPr>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w w:val="96"/>
          <w:sz w:val="32"/>
          <w:szCs w:val="32"/>
        </w:rPr>
      </w:pPr>
    </w:p>
    <w:p w14:paraId="72B9EE01">
      <w:pPr>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w w:val="96"/>
          <w:sz w:val="32"/>
          <w:szCs w:val="32"/>
        </w:rPr>
      </w:pPr>
    </w:p>
    <w:p w14:paraId="264D477F">
      <w:pPr>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w w:val="96"/>
          <w:sz w:val="32"/>
          <w:szCs w:val="32"/>
        </w:rPr>
      </w:pPr>
    </w:p>
    <w:p w14:paraId="2AACBA4A">
      <w:pPr>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w w:val="96"/>
          <w:sz w:val="32"/>
          <w:szCs w:val="32"/>
        </w:rPr>
      </w:pPr>
    </w:p>
    <w:p w14:paraId="279EADE7">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bookmarkStart w:id="71" w:name="_Toc16686_WPSOffice_Level1"/>
      <w:bookmarkStart w:id="72" w:name="_Toc28629_WPSOffice_Level1"/>
      <w:bookmarkStart w:id="73" w:name="_Toc31264_WPSOffice_Level1"/>
      <w:bookmarkStart w:id="74" w:name="_Toc27590_WPSOffice_Level1"/>
      <w:bookmarkStart w:id="75" w:name="_Toc4402_WPSOffice_Level1"/>
      <w:bookmarkStart w:id="76" w:name="_Toc29683_WPSOffice_Level1"/>
      <w:r>
        <w:rPr>
          <w:rFonts w:hint="eastAsia" w:ascii="黑体" w:hAnsi="ˎ̥" w:eastAsia="黑体"/>
          <w:sz w:val="32"/>
          <w:szCs w:val="32"/>
        </w:rPr>
        <w:t>第三部分  202</w:t>
      </w:r>
      <w:r>
        <w:rPr>
          <w:rFonts w:ascii="黑体" w:hAnsi="ˎ̥" w:eastAsia="黑体"/>
          <w:sz w:val="32"/>
          <w:szCs w:val="32"/>
        </w:rPr>
        <w:t>3</w:t>
      </w:r>
      <w:r>
        <w:rPr>
          <w:rFonts w:hint="eastAsia" w:ascii="黑体" w:hAnsi="ˎ̥" w:eastAsia="黑体"/>
          <w:sz w:val="32"/>
          <w:szCs w:val="32"/>
        </w:rPr>
        <w:t>年度部门决算情况说明</w:t>
      </w:r>
      <w:bookmarkEnd w:id="71"/>
      <w:bookmarkEnd w:id="72"/>
      <w:bookmarkEnd w:id="73"/>
      <w:bookmarkEnd w:id="74"/>
      <w:bookmarkEnd w:id="75"/>
      <w:bookmarkEnd w:id="76"/>
    </w:p>
    <w:p w14:paraId="7A7CF40C">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6031BCB7">
      <w:pPr>
        <w:keepNext w:val="0"/>
        <w:keepLines w:val="0"/>
        <w:pageBreakBefore w:val="0"/>
        <w:numPr>
          <w:ilvl w:val="0"/>
          <w:numId w:val="2"/>
        </w:numPr>
        <w:shd w:val="clear" w:fill="FFFFFF" w:themeFill="background1"/>
        <w:kinsoku/>
        <w:wordWrap/>
        <w:overflowPunct/>
        <w:topLinePunct w:val="0"/>
        <w:autoSpaceDE/>
        <w:autoSpaceDN/>
        <w:bidi w:val="0"/>
        <w:adjustRightInd/>
        <w:snapToGrid/>
        <w:spacing w:line="576" w:lineRule="exact"/>
        <w:ind w:firstLine="640" w:firstLineChars="200"/>
        <w:textAlignment w:val="auto"/>
        <w:rPr>
          <w:rFonts w:ascii="楷体" w:hAnsi="楷体" w:eastAsia="楷体" w:cs="楷体"/>
          <w:sz w:val="32"/>
          <w:szCs w:val="32"/>
        </w:rPr>
      </w:pPr>
      <w:r>
        <w:rPr>
          <w:rFonts w:hint="eastAsia" w:ascii="黑体" w:hAnsi="黑体" w:eastAsia="黑体" w:cs="黑体"/>
          <w:bCs/>
          <w:sz w:val="32"/>
          <w:szCs w:val="32"/>
          <w:highlight w:val="none"/>
        </w:rPr>
        <w:t>收入支出总体情况说明</w:t>
      </w:r>
      <w:r>
        <w:rPr>
          <w:rFonts w:hint="eastAsia" w:ascii="黑体" w:hAnsi="黑体" w:eastAsia="黑体" w:cs="黑体"/>
          <w:bCs/>
          <w:sz w:val="32"/>
          <w:szCs w:val="32"/>
          <w:highlight w:val="none"/>
        </w:rPr>
        <w:br w:type="textWrapping"/>
      </w:r>
      <w:r>
        <w:rPr>
          <w:rFonts w:hint="eastAsia" w:ascii="楷体_GB2312" w:hAnsi="ˎ̥" w:eastAsia="楷体_GB2312"/>
          <w:sz w:val="32"/>
          <w:szCs w:val="32"/>
          <w:highlight w:val="none"/>
        </w:rPr>
        <w:t xml:space="preserve">    </w:t>
      </w:r>
      <w:r>
        <w:rPr>
          <w:rFonts w:hint="eastAsia" w:ascii="仿宋_GB2312" w:hAnsi="ˎ̥" w:eastAsia="仿宋_GB2312"/>
          <w:sz w:val="32"/>
          <w:szCs w:val="32"/>
          <w:highlight w:val="none"/>
        </w:rPr>
        <w:t>202</w:t>
      </w:r>
      <w:r>
        <w:rPr>
          <w:rFonts w:ascii="仿宋_GB2312" w:hAnsi="ˎ̥" w:eastAsia="仿宋_GB2312"/>
          <w:sz w:val="32"/>
          <w:szCs w:val="32"/>
          <w:highlight w:val="none"/>
        </w:rPr>
        <w:t>3</w:t>
      </w:r>
      <w:r>
        <w:rPr>
          <w:rFonts w:hint="eastAsia" w:ascii="仿宋_GB2312" w:hAnsi="ˎ̥" w:eastAsia="仿宋_GB2312"/>
          <w:sz w:val="32"/>
          <w:szCs w:val="32"/>
          <w:highlight w:val="none"/>
        </w:rPr>
        <w:t>年度支出总计</w:t>
      </w:r>
      <w:r>
        <w:rPr>
          <w:rFonts w:hint="default" w:ascii="仿宋_GB2312" w:hAnsi="ˎ̥" w:eastAsia="仿宋_GB2312"/>
          <w:color w:val="FF0000"/>
          <w:sz w:val="32"/>
          <w:szCs w:val="32"/>
          <w:highlight w:val="none"/>
          <w:lang w:val="en-US"/>
        </w:rPr>
        <w:t>1,397.21</w:t>
      </w:r>
      <w:r>
        <w:rPr>
          <w:rFonts w:hint="eastAsia" w:ascii="仿宋_GB2312" w:hAnsi="ˎ̥" w:eastAsia="仿宋_GB2312"/>
          <w:sz w:val="32"/>
          <w:szCs w:val="32"/>
          <w:highlight w:val="none"/>
        </w:rPr>
        <w:t>万元，与202</w:t>
      </w:r>
      <w:r>
        <w:rPr>
          <w:rFonts w:ascii="仿宋_GB2312" w:hAnsi="ˎ̥" w:eastAsia="仿宋_GB2312"/>
          <w:sz w:val="32"/>
          <w:szCs w:val="32"/>
          <w:highlight w:val="none"/>
        </w:rPr>
        <w:t>2</w:t>
      </w:r>
      <w:r>
        <w:rPr>
          <w:rFonts w:hint="eastAsia" w:ascii="仿宋_GB2312" w:hAnsi="ˎ̥" w:eastAsia="仿宋_GB2312"/>
          <w:sz w:val="32"/>
          <w:szCs w:val="32"/>
          <w:highlight w:val="none"/>
        </w:rPr>
        <w:t>年度相比，收入、支出总计各增加</w:t>
      </w:r>
      <w:r>
        <w:rPr>
          <w:rFonts w:hint="eastAsia" w:ascii="仿宋_GB2312" w:hAnsi="ˎ̥" w:eastAsia="仿宋_GB2312"/>
          <w:color w:val="FF0000"/>
          <w:sz w:val="32"/>
          <w:szCs w:val="32"/>
          <w:highlight w:val="none"/>
          <w:lang w:val="en-US" w:eastAsia="zh-CN"/>
        </w:rPr>
        <w:t>77.84</w:t>
      </w:r>
      <w:r>
        <w:rPr>
          <w:rFonts w:hint="eastAsia" w:ascii="仿宋_GB2312" w:hAnsi="ˎ̥" w:eastAsia="仿宋_GB2312"/>
          <w:sz w:val="32"/>
          <w:szCs w:val="32"/>
          <w:highlight w:val="none"/>
        </w:rPr>
        <w:t>万元，增长</w:t>
      </w:r>
      <w:r>
        <w:rPr>
          <w:rFonts w:hint="eastAsia" w:ascii="仿宋_GB2312" w:hAnsi="ˎ̥" w:eastAsia="仿宋_GB2312"/>
          <w:color w:val="FF0000"/>
          <w:sz w:val="32"/>
          <w:szCs w:val="32"/>
          <w:highlight w:val="none"/>
          <w:lang w:val="en-US" w:eastAsia="zh-CN"/>
        </w:rPr>
        <w:t>5.90</w:t>
      </w:r>
      <w:r>
        <w:rPr>
          <w:rFonts w:hint="eastAsia" w:ascii="仿宋_GB2312" w:hAnsi="ˎ̥" w:eastAsia="仿宋_GB2312"/>
          <w:sz w:val="32"/>
          <w:szCs w:val="32"/>
          <w:highlight w:val="none"/>
        </w:rPr>
        <w:t>%。主要原因：一是</w:t>
      </w:r>
      <w:bookmarkStart w:id="77" w:name="_Hlk181648226"/>
      <w:r>
        <w:rPr>
          <w:rFonts w:hint="eastAsia" w:ascii="仿宋_GB2312" w:hAnsi="ˎ̥" w:eastAsia="仿宋_GB2312"/>
          <w:sz w:val="32"/>
          <w:szCs w:val="32"/>
          <w:highlight w:val="none"/>
        </w:rPr>
        <w:t>人员经费增加</w:t>
      </w:r>
      <w:bookmarkEnd w:id="77"/>
      <w:r>
        <w:rPr>
          <w:rFonts w:hint="eastAsia" w:ascii="仿宋_GB2312" w:hAnsi="ˎ̥" w:eastAsia="仿宋_GB2312"/>
          <w:sz w:val="32"/>
          <w:szCs w:val="32"/>
          <w:highlight w:val="none"/>
        </w:rPr>
        <w:t>；二是项目资金增加。</w:t>
      </w:r>
    </w:p>
    <w:p w14:paraId="1B41C50E">
      <w:pPr>
        <w:keepNext w:val="0"/>
        <w:keepLines w:val="0"/>
        <w:pageBreakBefore w:val="0"/>
        <w:widowControl w:val="0"/>
        <w:numPr>
          <w:numId w:val="0"/>
        </w:numPr>
        <w:shd w:val="clear" w:fill="FFFFFF" w:themeFill="background1"/>
        <w:kinsoku/>
        <w:wordWrap/>
        <w:overflowPunct/>
        <w:topLinePunct w:val="0"/>
        <w:autoSpaceDE/>
        <w:autoSpaceDN/>
        <w:bidi w:val="0"/>
        <w:adjustRightInd/>
        <w:snapToGrid/>
        <w:spacing w:line="576"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73535A5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1,381.51</w:t>
      </w:r>
      <w:r>
        <w:rPr>
          <w:rFonts w:hint="eastAsia" w:ascii="仿宋_GB2312" w:hAnsi="ˎ̥" w:eastAsia="仿宋_GB2312"/>
          <w:sz w:val="32"/>
          <w:szCs w:val="32"/>
        </w:rPr>
        <w:t>万元。</w:t>
      </w:r>
    </w:p>
    <w:p w14:paraId="77F7417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ˎ̥" w:eastAsia="仿宋_GB2312"/>
          <w:sz w:val="32"/>
          <w:szCs w:val="32"/>
          <w:highlight w:val="none"/>
        </w:rPr>
      </w:pPr>
      <w:r>
        <w:rPr>
          <w:rFonts w:hint="eastAsia" w:ascii="仿宋_GB2312" w:hAnsi="ˎ̥" w:eastAsia="仿宋_GB2312"/>
          <w:sz w:val="32"/>
          <w:szCs w:val="32"/>
          <w:highlight w:val="none"/>
        </w:rPr>
        <w:t>使用非财政拨款结余</w:t>
      </w:r>
      <w:r>
        <w:rPr>
          <w:rFonts w:hint="default" w:ascii="仿宋_GB2312" w:hAnsi="ˎ̥" w:eastAsia="仿宋_GB2312"/>
          <w:color w:val="FF0000"/>
          <w:sz w:val="32"/>
          <w:szCs w:val="32"/>
          <w:highlight w:val="none"/>
          <w:lang w:val="en-US"/>
        </w:rPr>
        <w:t>0.00</w:t>
      </w:r>
      <w:r>
        <w:rPr>
          <w:rFonts w:hint="eastAsia" w:ascii="仿宋_GB2312" w:hAnsi="ˎ̥" w:eastAsia="仿宋_GB2312"/>
          <w:sz w:val="32"/>
          <w:szCs w:val="32"/>
          <w:highlight w:val="none"/>
        </w:rPr>
        <w:t>万元，较202</w:t>
      </w:r>
      <w:r>
        <w:rPr>
          <w:rFonts w:ascii="仿宋_GB2312" w:hAnsi="ˎ̥" w:eastAsia="仿宋_GB2312"/>
          <w:sz w:val="32"/>
          <w:szCs w:val="32"/>
          <w:highlight w:val="none"/>
        </w:rPr>
        <w:t>2</w:t>
      </w:r>
      <w:r>
        <w:rPr>
          <w:rFonts w:hint="eastAsia" w:ascii="仿宋_GB2312" w:hAnsi="ˎ̥" w:eastAsia="仿宋_GB2312"/>
          <w:sz w:val="32"/>
          <w:szCs w:val="32"/>
          <w:highlight w:val="none"/>
        </w:rPr>
        <w:t>年度决算数增加</w:t>
      </w:r>
      <w:r>
        <w:rPr>
          <w:rFonts w:hint="eastAsia" w:ascii="仿宋_GB2312" w:hAnsi="ˎ̥" w:eastAsia="仿宋_GB2312"/>
          <w:color w:val="FF0000"/>
          <w:sz w:val="32"/>
          <w:szCs w:val="32"/>
          <w:highlight w:val="none"/>
          <w:lang w:val="en-US" w:eastAsia="zh-CN"/>
        </w:rPr>
        <w:t>62.14</w:t>
      </w:r>
      <w:r>
        <w:rPr>
          <w:rFonts w:hint="eastAsia" w:ascii="仿宋_GB2312" w:hAnsi="ˎ̥" w:eastAsia="仿宋_GB2312"/>
          <w:sz w:val="32"/>
          <w:szCs w:val="32"/>
          <w:highlight w:val="none"/>
        </w:rPr>
        <w:t>万元，主要原因是项目增加。</w:t>
      </w:r>
    </w:p>
    <w:p w14:paraId="0D8B6EF4">
      <w:pPr>
        <w:keepNext w:val="0"/>
        <w:keepLines w:val="0"/>
        <w:pageBreakBefore w:val="0"/>
        <w:kinsoku/>
        <w:wordWrap/>
        <w:overflowPunct/>
        <w:topLinePunct w:val="0"/>
        <w:autoSpaceDE/>
        <w:autoSpaceDN/>
        <w:bidi w:val="0"/>
        <w:adjustRightInd/>
        <w:snapToGrid/>
        <w:spacing w:line="576" w:lineRule="exact"/>
        <w:textAlignment w:val="auto"/>
        <w:rPr>
          <w:rFonts w:ascii="仿宋_GB2312" w:hAnsi="ˎ̥" w:eastAsia="仿宋_GB2312"/>
          <w:sz w:val="32"/>
          <w:szCs w:val="32"/>
          <w:highlight w:val="none"/>
        </w:rPr>
      </w:pPr>
      <w:r>
        <w:rPr>
          <w:rFonts w:hint="eastAsia" w:ascii="仿宋_GB2312" w:hAnsi="ˎ̥" w:eastAsia="仿宋_GB2312"/>
          <w:sz w:val="32"/>
          <w:szCs w:val="32"/>
          <w:highlight w:val="none"/>
        </w:rPr>
        <w:t>年初结转结余</w:t>
      </w:r>
      <w:r>
        <w:rPr>
          <w:rFonts w:hint="default" w:ascii="仿宋_GB2312" w:hAnsi="ˎ̥" w:eastAsia="仿宋_GB2312"/>
          <w:color w:val="FF0000"/>
          <w:sz w:val="32"/>
          <w:szCs w:val="32"/>
          <w:highlight w:val="none"/>
          <w:lang w:val="en-US"/>
        </w:rPr>
        <w:t>15.69</w:t>
      </w:r>
      <w:r>
        <w:rPr>
          <w:rFonts w:hint="eastAsia" w:ascii="仿宋_GB2312" w:hAnsi="ˎ̥" w:eastAsia="仿宋_GB2312"/>
          <w:sz w:val="32"/>
          <w:szCs w:val="32"/>
          <w:highlight w:val="none"/>
        </w:rPr>
        <w:t>万元，主要是上年项目资金未支出完，较202</w:t>
      </w:r>
      <w:r>
        <w:rPr>
          <w:rFonts w:ascii="仿宋_GB2312" w:hAnsi="ˎ̥" w:eastAsia="仿宋_GB2312"/>
          <w:sz w:val="32"/>
          <w:szCs w:val="32"/>
          <w:highlight w:val="none"/>
        </w:rPr>
        <w:t>2</w:t>
      </w:r>
      <w:r>
        <w:rPr>
          <w:rFonts w:hint="eastAsia" w:ascii="仿宋_GB2312" w:hAnsi="ˎ̥" w:eastAsia="仿宋_GB2312"/>
          <w:sz w:val="32"/>
          <w:szCs w:val="32"/>
          <w:highlight w:val="none"/>
        </w:rPr>
        <w:t>年度决算数增加</w:t>
      </w:r>
      <w:r>
        <w:rPr>
          <w:rFonts w:hint="eastAsia" w:ascii="仿宋_GB2312" w:hAnsi="ˎ̥" w:eastAsia="仿宋_GB2312"/>
          <w:color w:val="FF0000"/>
          <w:sz w:val="32"/>
          <w:szCs w:val="32"/>
          <w:highlight w:val="none"/>
          <w:lang w:val="en-US" w:eastAsia="zh-CN"/>
        </w:rPr>
        <w:t>0</w:t>
      </w:r>
      <w:r>
        <w:rPr>
          <w:rFonts w:hint="eastAsia" w:ascii="仿宋_GB2312" w:hAnsi="ˎ̥" w:eastAsia="仿宋_GB2312"/>
          <w:sz w:val="32"/>
          <w:szCs w:val="32"/>
          <w:highlight w:val="none"/>
        </w:rPr>
        <w:t>万元，增长</w:t>
      </w:r>
      <w:r>
        <w:rPr>
          <w:rFonts w:hint="eastAsia" w:ascii="仿宋_GB2312" w:hAnsi="ˎ̥" w:eastAsia="仿宋_GB2312"/>
          <w:color w:val="FF0000"/>
          <w:sz w:val="32"/>
          <w:szCs w:val="32"/>
          <w:highlight w:val="none"/>
          <w:lang w:val="en-US" w:eastAsia="zh-CN"/>
        </w:rPr>
        <w:t>100</w:t>
      </w:r>
      <w:r>
        <w:rPr>
          <w:rFonts w:hint="eastAsia" w:ascii="仿宋_GB2312" w:hAnsi="ˎ̥" w:eastAsia="仿宋_GB2312"/>
          <w:sz w:val="32"/>
          <w:szCs w:val="32"/>
          <w:highlight w:val="none"/>
        </w:rPr>
        <w:t>%，主要原因</w:t>
      </w:r>
      <w:r>
        <w:rPr>
          <w:rFonts w:hint="eastAsia" w:ascii="仿宋_GB2312" w:hAnsi="ˎ̥" w:eastAsia="仿宋_GB2312"/>
          <w:sz w:val="32"/>
          <w:szCs w:val="32"/>
          <w:highlight w:val="none"/>
          <w:lang w:eastAsia="zh-CN"/>
        </w:rPr>
        <w:t>一是</w:t>
      </w:r>
      <w:r>
        <w:rPr>
          <w:rFonts w:hint="eastAsia" w:ascii="仿宋_GB2312" w:hAnsi="ˎ̥" w:eastAsia="仿宋_GB2312"/>
          <w:sz w:val="32"/>
          <w:szCs w:val="32"/>
          <w:highlight w:val="none"/>
        </w:rPr>
        <w:t>人员经费的增加，二是项目资金的增加。</w:t>
      </w:r>
    </w:p>
    <w:p w14:paraId="6D2B278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548B5BF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eastAsia" w:ascii="仿宋_GB2312" w:hAnsi="ˎ̥" w:eastAsia="仿宋_GB2312"/>
          <w:color w:val="FF0000"/>
          <w:sz w:val="32"/>
          <w:szCs w:val="32"/>
          <w:lang w:val="en-US" w:eastAsia="zh-CN"/>
        </w:rPr>
        <w:t>1397.21</w:t>
      </w:r>
      <w:r>
        <w:rPr>
          <w:rFonts w:hint="eastAsia" w:ascii="仿宋_GB2312" w:hAnsi="ˎ̥" w:eastAsia="仿宋_GB2312"/>
          <w:sz w:val="32"/>
          <w:szCs w:val="32"/>
        </w:rPr>
        <w:t>万元，其中：一般公共预算资金</w:t>
      </w:r>
      <w:r>
        <w:rPr>
          <w:rFonts w:hint="eastAsia" w:ascii="仿宋_GB2312" w:hAnsi="ˎ̥" w:eastAsia="仿宋_GB2312"/>
          <w:color w:val="FF0000"/>
          <w:sz w:val="32"/>
          <w:szCs w:val="32"/>
          <w:lang w:val="en-US" w:eastAsia="zh-CN"/>
        </w:rPr>
        <w:t>1397.21</w:t>
      </w:r>
      <w:r>
        <w:rPr>
          <w:rFonts w:hint="eastAsia" w:ascii="仿宋_GB2312" w:hAnsi="ˎ̥" w:eastAsia="仿宋_GB2312"/>
          <w:sz w:val="32"/>
          <w:szCs w:val="32"/>
        </w:rPr>
        <w:t>万元，较202</w:t>
      </w:r>
      <w:r>
        <w:rPr>
          <w:rFonts w:ascii="仿宋_GB2312" w:hAnsi="ˎ̥" w:eastAsia="仿宋_GB2312"/>
          <w:sz w:val="32"/>
          <w:szCs w:val="32"/>
        </w:rPr>
        <w:t>2</w:t>
      </w:r>
      <w:r>
        <w:rPr>
          <w:rFonts w:hint="eastAsia" w:ascii="仿宋_GB2312" w:hAnsi="ˎ̥" w:eastAsia="仿宋_GB2312"/>
          <w:sz w:val="32"/>
          <w:szCs w:val="32"/>
        </w:rPr>
        <w:t>年度决算数增加</w:t>
      </w:r>
      <w:r>
        <w:rPr>
          <w:rFonts w:hint="eastAsia" w:ascii="仿宋_GB2312" w:hAnsi="ˎ̥" w:eastAsia="仿宋_GB2312"/>
          <w:color w:val="FF0000"/>
          <w:sz w:val="32"/>
          <w:szCs w:val="32"/>
          <w:lang w:val="en-US" w:eastAsia="zh-CN"/>
        </w:rPr>
        <w:t>77.84</w:t>
      </w:r>
      <w:r>
        <w:rPr>
          <w:rFonts w:hint="eastAsia" w:ascii="仿宋_GB2312" w:hAnsi="ˎ̥" w:eastAsia="仿宋_GB2312"/>
          <w:sz w:val="32"/>
          <w:szCs w:val="32"/>
        </w:rPr>
        <w:t>万元，主要原因为人员和项目资金增加。</w:t>
      </w:r>
    </w:p>
    <w:p w14:paraId="1DC45E70">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年度相关决算数据可取自附件财决公开01、02表；202</w:t>
      </w:r>
      <w:r>
        <w:rPr>
          <w:rFonts w:ascii="仿宋_GB2312" w:hAnsi="ˎ̥" w:eastAsia="仿宋_GB2312"/>
          <w:sz w:val="32"/>
          <w:szCs w:val="32"/>
        </w:rPr>
        <w:t>2</w:t>
      </w:r>
      <w:r>
        <w:rPr>
          <w:rFonts w:hint="eastAsia" w:ascii="仿宋_GB2312" w:hAnsi="ˎ̥" w:eastAsia="仿宋_GB2312"/>
          <w:sz w:val="32"/>
          <w:szCs w:val="32"/>
        </w:rPr>
        <w:t>年度相关决算数据可取自202</w:t>
      </w:r>
      <w:r>
        <w:rPr>
          <w:rFonts w:ascii="仿宋_GB2312" w:hAnsi="ˎ̥" w:eastAsia="仿宋_GB2312"/>
          <w:sz w:val="32"/>
          <w:szCs w:val="32"/>
        </w:rPr>
        <w:t>2</w:t>
      </w:r>
      <w:r>
        <w:rPr>
          <w:rFonts w:hint="eastAsia" w:ascii="仿宋_GB2312" w:hAnsi="ˎ̥" w:eastAsia="仿宋_GB2312"/>
          <w:sz w:val="32"/>
          <w:szCs w:val="32"/>
        </w:rPr>
        <w:t>年度部门决算报表财决01表《收入支出决算总表》）</w:t>
      </w:r>
    </w:p>
    <w:p w14:paraId="3B7919B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p>
    <w:p w14:paraId="374BA5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highlight w:val="none"/>
        </w:rPr>
      </w:pPr>
      <w:r>
        <w:rPr>
          <w:rFonts w:hint="eastAsia" w:ascii="仿宋_GB2312" w:hAnsi="ˎ̥" w:eastAsia="仿宋_GB2312"/>
          <w:sz w:val="32"/>
          <w:szCs w:val="32"/>
          <w:highlight w:val="none"/>
        </w:rPr>
        <w:t>本年收入</w:t>
      </w:r>
      <w:r>
        <w:rPr>
          <w:rFonts w:hint="default" w:ascii="仿宋_GB2312" w:hAnsi="ˎ̥" w:eastAsia="仿宋_GB2312"/>
          <w:color w:val="FF0000"/>
          <w:sz w:val="32"/>
          <w:szCs w:val="32"/>
          <w:highlight w:val="none"/>
          <w:lang w:val="en-US"/>
        </w:rPr>
        <w:t>1,381.51</w:t>
      </w:r>
      <w:r>
        <w:rPr>
          <w:rFonts w:hint="eastAsia" w:ascii="仿宋_GB2312" w:hAnsi="ˎ̥" w:eastAsia="仿宋_GB2312"/>
          <w:sz w:val="32"/>
          <w:szCs w:val="32"/>
          <w:highlight w:val="none"/>
        </w:rPr>
        <w:t>万元，其中一般公共服务</w:t>
      </w:r>
      <w:r>
        <w:rPr>
          <w:rFonts w:hint="eastAsia" w:ascii="仿宋_GB2312" w:hAnsi="ˎ̥" w:eastAsia="仿宋_GB2312"/>
          <w:sz w:val="32"/>
          <w:szCs w:val="32"/>
          <w:highlight w:val="none"/>
          <w:lang w:eastAsia="zh-CN"/>
        </w:rPr>
        <w:t>收入</w:t>
      </w:r>
      <w:r>
        <w:rPr>
          <w:rFonts w:hint="eastAsia" w:ascii="仿宋_GB2312" w:hAnsi="ˎ̥" w:eastAsia="仿宋_GB2312"/>
          <w:color w:val="FF0000"/>
          <w:sz w:val="32"/>
          <w:szCs w:val="32"/>
          <w:highlight w:val="none"/>
          <w:lang w:val="en-US" w:eastAsia="zh-CN"/>
        </w:rPr>
        <w:t>1154.47</w:t>
      </w:r>
      <w:r>
        <w:rPr>
          <w:rFonts w:hint="eastAsia" w:ascii="仿宋_GB2312" w:hAnsi="仿宋_GB2312" w:eastAsia="仿宋_GB2312" w:cs="仿宋_GB2312"/>
          <w:color w:val="000000"/>
          <w:kern w:val="0"/>
          <w:sz w:val="32"/>
          <w:szCs w:val="32"/>
          <w:highlight w:val="none"/>
          <w:shd w:val="clear" w:color="auto" w:fill="FFFFFF"/>
          <w:lang w:bidi="ar"/>
        </w:rPr>
        <w:t>万元；</w:t>
      </w:r>
      <w:r>
        <w:rPr>
          <w:rFonts w:hint="eastAsia" w:ascii="仿宋_GB2312" w:hAnsi="ˎ̥" w:eastAsia="仿宋_GB2312"/>
          <w:bCs/>
          <w:sz w:val="32"/>
          <w:szCs w:val="32"/>
          <w:highlight w:val="none"/>
        </w:rPr>
        <w:t>社会保障和就业</w:t>
      </w:r>
      <w:r>
        <w:rPr>
          <w:rFonts w:hint="eastAsia" w:ascii="仿宋_GB2312" w:hAnsi="ˎ̥" w:eastAsia="仿宋_GB2312"/>
          <w:sz w:val="32"/>
          <w:szCs w:val="32"/>
          <w:highlight w:val="none"/>
          <w:lang w:eastAsia="zh-CN"/>
        </w:rPr>
        <w:t>收入</w:t>
      </w:r>
      <w:r>
        <w:rPr>
          <w:rFonts w:hint="eastAsia" w:ascii="仿宋_GB2312" w:hAnsi="仿宋_GB2312" w:eastAsia="仿宋_GB2312" w:cs="仿宋_GB2312"/>
          <w:color w:val="FF0000"/>
          <w:kern w:val="0"/>
          <w:sz w:val="32"/>
          <w:szCs w:val="32"/>
          <w:highlight w:val="none"/>
          <w:shd w:val="clear" w:color="auto" w:fill="FFFFFF"/>
          <w:lang w:bidi="ar"/>
        </w:rPr>
        <w:t>84.65</w:t>
      </w:r>
      <w:r>
        <w:rPr>
          <w:rFonts w:hint="eastAsia" w:ascii="仿宋_GB2312" w:hAnsi="ˎ̥" w:eastAsia="仿宋_GB2312"/>
          <w:sz w:val="32"/>
          <w:szCs w:val="32"/>
          <w:highlight w:val="none"/>
        </w:rPr>
        <w:t>万元；住房保障</w:t>
      </w:r>
      <w:r>
        <w:rPr>
          <w:rFonts w:hint="eastAsia" w:ascii="仿宋_GB2312" w:hAnsi="ˎ̥" w:eastAsia="仿宋_GB2312"/>
          <w:sz w:val="32"/>
          <w:szCs w:val="32"/>
          <w:highlight w:val="none"/>
          <w:lang w:eastAsia="zh-CN"/>
        </w:rPr>
        <w:t>收入</w:t>
      </w:r>
      <w:r>
        <w:rPr>
          <w:rFonts w:hint="eastAsia" w:ascii="仿宋_GB2312" w:hAnsi="仿宋_GB2312" w:eastAsia="仿宋_GB2312" w:cs="仿宋_GB2312"/>
          <w:color w:val="FF0000"/>
          <w:kern w:val="0"/>
          <w:sz w:val="32"/>
          <w:szCs w:val="32"/>
          <w:highlight w:val="none"/>
          <w:shd w:val="clear" w:color="auto" w:fill="FFFFFF"/>
          <w:lang w:bidi="ar"/>
        </w:rPr>
        <w:t>91.39</w:t>
      </w:r>
      <w:r>
        <w:rPr>
          <w:rFonts w:hint="eastAsia" w:ascii="仿宋_GB2312" w:hAnsi="ˎ̥" w:eastAsia="仿宋_GB2312"/>
          <w:sz w:val="32"/>
          <w:szCs w:val="32"/>
          <w:highlight w:val="none"/>
        </w:rPr>
        <w:t>万元；卫生健康</w:t>
      </w:r>
      <w:r>
        <w:rPr>
          <w:rFonts w:hint="eastAsia" w:ascii="仿宋_GB2312" w:hAnsi="ˎ̥" w:eastAsia="仿宋_GB2312"/>
          <w:sz w:val="32"/>
          <w:szCs w:val="32"/>
          <w:highlight w:val="none"/>
          <w:lang w:eastAsia="zh-CN"/>
        </w:rPr>
        <w:t>收入</w:t>
      </w:r>
      <w:bookmarkStart w:id="120" w:name="_GoBack"/>
      <w:bookmarkEnd w:id="120"/>
      <w:r>
        <w:rPr>
          <w:rFonts w:hint="eastAsia" w:ascii="仿宋_GB2312" w:hAnsi="仿宋_GB2312" w:eastAsia="仿宋_GB2312" w:cs="仿宋_GB2312"/>
          <w:color w:val="FF0000"/>
          <w:kern w:val="0"/>
          <w:sz w:val="32"/>
          <w:szCs w:val="32"/>
          <w:highlight w:val="none"/>
          <w:shd w:val="clear" w:color="auto" w:fill="FFFFFF"/>
          <w:lang w:bidi="ar"/>
        </w:rPr>
        <w:t>51.00</w:t>
      </w:r>
      <w:r>
        <w:rPr>
          <w:rFonts w:hint="eastAsia" w:ascii="仿宋_GB2312" w:hAnsi="仿宋_GB2312" w:eastAsia="仿宋_GB2312" w:cs="仿宋_GB2312"/>
          <w:color w:val="000000"/>
          <w:kern w:val="0"/>
          <w:sz w:val="32"/>
          <w:szCs w:val="32"/>
          <w:highlight w:val="none"/>
          <w:shd w:val="clear" w:color="auto" w:fill="FFFFFF"/>
          <w:lang w:bidi="ar"/>
        </w:rPr>
        <w:t>万元</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ˎ̥" w:eastAsia="仿宋_GB2312"/>
          <w:sz w:val="32"/>
          <w:szCs w:val="32"/>
          <w:highlight w:val="none"/>
        </w:rPr>
        <w:t>（注</w:t>
      </w:r>
      <w:r>
        <w:rPr>
          <w:rFonts w:ascii="仿宋_GB2312" w:hAnsi="ˎ̥" w:eastAsia="仿宋_GB2312"/>
          <w:sz w:val="32"/>
          <w:szCs w:val="32"/>
          <w:highlight w:val="none"/>
        </w:rPr>
        <w:t>：</w:t>
      </w:r>
      <w:r>
        <w:rPr>
          <w:rFonts w:hint="eastAsia" w:ascii="仿宋_GB2312" w:hAnsi="ˎ̥" w:eastAsia="仿宋_GB2312"/>
          <w:sz w:val="32"/>
          <w:szCs w:val="32"/>
          <w:highlight w:val="none"/>
        </w:rPr>
        <w:t>上述各项收入数字可取自财决公开02表）</w:t>
      </w:r>
    </w:p>
    <w:p w14:paraId="4FB0AF56">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4D2BBB5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highlight w:val="none"/>
          <w:lang w:eastAsia="zh-CN"/>
        </w:rPr>
      </w:pPr>
      <w:r>
        <w:rPr>
          <w:rFonts w:hint="eastAsia" w:ascii="仿宋_GB2312" w:hAnsi="ˎ̥" w:eastAsia="仿宋_GB2312"/>
          <w:sz w:val="32"/>
          <w:szCs w:val="32"/>
          <w:highlight w:val="none"/>
        </w:rPr>
        <w:t>本年支出</w:t>
      </w:r>
      <w:r>
        <w:rPr>
          <w:rFonts w:hint="default" w:ascii="仿宋_GB2312" w:hAnsi="ˎ̥" w:eastAsia="仿宋_GB2312"/>
          <w:color w:val="FF0000"/>
          <w:sz w:val="32"/>
          <w:szCs w:val="32"/>
          <w:highlight w:val="none"/>
          <w:lang w:val="en-US"/>
        </w:rPr>
        <w:t>1,397.21</w:t>
      </w:r>
      <w:r>
        <w:rPr>
          <w:rFonts w:hint="eastAsia" w:ascii="仿宋_GB2312" w:hAnsi="ˎ̥" w:eastAsia="仿宋_GB2312"/>
          <w:sz w:val="32"/>
          <w:szCs w:val="32"/>
          <w:highlight w:val="none"/>
        </w:rPr>
        <w:t>万元，其中：基本支出</w:t>
      </w:r>
      <w:r>
        <w:rPr>
          <w:rFonts w:hint="default" w:ascii="仿宋_GB2312" w:hAnsi="ˎ̥" w:eastAsia="仿宋_GB2312"/>
          <w:color w:val="FF0000"/>
          <w:sz w:val="32"/>
          <w:szCs w:val="32"/>
          <w:highlight w:val="none"/>
          <w:lang w:val="en-US"/>
        </w:rPr>
        <w:t>888.62</w:t>
      </w:r>
      <w:r>
        <w:rPr>
          <w:rFonts w:hint="eastAsia" w:ascii="仿宋_GB2312" w:hAnsi="ˎ̥" w:eastAsia="仿宋_GB2312"/>
          <w:sz w:val="32"/>
          <w:szCs w:val="32"/>
          <w:highlight w:val="none"/>
        </w:rPr>
        <w:t>万元，占</w:t>
      </w:r>
      <w:r>
        <w:rPr>
          <w:rFonts w:hint="eastAsia" w:ascii="仿宋_GB2312" w:hAnsi="ˎ̥" w:eastAsia="仿宋_GB2312"/>
          <w:color w:val="FF0000"/>
          <w:sz w:val="32"/>
          <w:szCs w:val="32"/>
          <w:highlight w:val="none"/>
          <w:lang w:val="en-US" w:eastAsia="zh-CN"/>
        </w:rPr>
        <w:t>63.60</w:t>
      </w:r>
      <w:r>
        <w:rPr>
          <w:rFonts w:hint="eastAsia" w:ascii="仿宋_GB2312" w:hAnsi="ˎ̥" w:eastAsia="仿宋_GB2312"/>
          <w:sz w:val="32"/>
          <w:szCs w:val="32"/>
          <w:highlight w:val="none"/>
        </w:rPr>
        <w:t>%；项目支出</w:t>
      </w:r>
      <w:r>
        <w:rPr>
          <w:rFonts w:hint="default" w:ascii="仿宋_GB2312" w:hAnsi="ˎ̥" w:eastAsia="仿宋_GB2312"/>
          <w:color w:val="FF0000"/>
          <w:sz w:val="32"/>
          <w:szCs w:val="32"/>
          <w:highlight w:val="none"/>
          <w:lang w:val="en-US"/>
        </w:rPr>
        <w:t>508.59</w:t>
      </w:r>
      <w:r>
        <w:rPr>
          <w:rFonts w:hint="eastAsia" w:ascii="仿宋_GB2312" w:hAnsi="ˎ̥" w:eastAsia="仿宋_GB2312"/>
          <w:sz w:val="32"/>
          <w:szCs w:val="32"/>
          <w:highlight w:val="none"/>
        </w:rPr>
        <w:t>万元，占</w:t>
      </w:r>
      <w:r>
        <w:rPr>
          <w:rFonts w:hint="eastAsia" w:ascii="仿宋_GB2312" w:hAnsi="ˎ̥" w:eastAsia="仿宋_GB2312"/>
          <w:color w:val="FF0000"/>
          <w:sz w:val="32"/>
          <w:szCs w:val="32"/>
          <w:highlight w:val="none"/>
          <w:lang w:val="en-US" w:eastAsia="zh-CN"/>
        </w:rPr>
        <w:t>36.40</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w:t>
      </w:r>
    </w:p>
    <w:p w14:paraId="3B73D26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上述各项支出数字可取自财决公开03表）</w:t>
      </w:r>
    </w:p>
    <w:p w14:paraId="55559B38">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562CCE49">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ascii="仿宋_GB2312" w:hAnsi="ˎ̥" w:eastAsia="仿宋_GB2312"/>
          <w:sz w:val="32"/>
          <w:szCs w:val="32"/>
          <w:highlight w:val="none"/>
        </w:rPr>
      </w:pPr>
      <w:r>
        <w:rPr>
          <w:rFonts w:hint="eastAsia" w:ascii="仿宋_GB2312" w:hAnsi="ˎ̥" w:eastAsia="仿宋_GB2312"/>
          <w:sz w:val="32"/>
          <w:szCs w:val="32"/>
          <w:highlight w:val="none"/>
        </w:rPr>
        <w:t>202</w:t>
      </w:r>
      <w:r>
        <w:rPr>
          <w:rFonts w:ascii="仿宋_GB2312" w:hAnsi="ˎ̥" w:eastAsia="仿宋_GB2312"/>
          <w:sz w:val="32"/>
          <w:szCs w:val="32"/>
          <w:highlight w:val="none"/>
        </w:rPr>
        <w:t>3</w:t>
      </w:r>
      <w:r>
        <w:rPr>
          <w:rFonts w:hint="eastAsia" w:ascii="仿宋_GB2312" w:hAnsi="ˎ̥" w:eastAsia="仿宋_GB2312"/>
          <w:sz w:val="32"/>
          <w:szCs w:val="32"/>
          <w:highlight w:val="none"/>
        </w:rPr>
        <w:t>年度财政拨款收入</w:t>
      </w:r>
      <w:r>
        <w:rPr>
          <w:rFonts w:hint="default" w:ascii="仿宋_GB2312" w:hAnsi="ˎ̥" w:eastAsia="仿宋_GB2312"/>
          <w:color w:val="FF0000"/>
          <w:sz w:val="32"/>
          <w:szCs w:val="32"/>
          <w:highlight w:val="none"/>
          <w:lang w:val="en-US"/>
        </w:rPr>
        <w:t>1,381.51</w:t>
      </w:r>
      <w:r>
        <w:rPr>
          <w:rFonts w:hint="eastAsia" w:ascii="仿宋_GB2312" w:hAnsi="ˎ̥" w:eastAsia="仿宋_GB2312"/>
          <w:sz w:val="32"/>
          <w:szCs w:val="32"/>
          <w:highlight w:val="none"/>
        </w:rPr>
        <w:t>万元，支出</w:t>
      </w:r>
      <w:r>
        <w:rPr>
          <w:rFonts w:hint="default" w:ascii="仿宋_GB2312" w:hAnsi="ˎ̥" w:eastAsia="仿宋_GB2312"/>
          <w:color w:val="FF0000"/>
          <w:sz w:val="32"/>
          <w:szCs w:val="32"/>
          <w:highlight w:val="none"/>
          <w:lang w:val="en-US"/>
        </w:rPr>
        <w:t>1,397.21</w:t>
      </w:r>
      <w:r>
        <w:rPr>
          <w:rFonts w:hint="eastAsia" w:ascii="仿宋_GB2312" w:hAnsi="ˎ̥" w:eastAsia="仿宋_GB2312"/>
          <w:sz w:val="32"/>
          <w:szCs w:val="32"/>
          <w:highlight w:val="none"/>
        </w:rPr>
        <w:t>万元。与202</w:t>
      </w:r>
      <w:r>
        <w:rPr>
          <w:rFonts w:ascii="仿宋_GB2312" w:hAnsi="ˎ̥" w:eastAsia="仿宋_GB2312"/>
          <w:sz w:val="32"/>
          <w:szCs w:val="32"/>
          <w:highlight w:val="none"/>
        </w:rPr>
        <w:t>2</w:t>
      </w:r>
      <w:r>
        <w:rPr>
          <w:rFonts w:hint="eastAsia" w:ascii="仿宋_GB2312" w:hAnsi="ˎ̥" w:eastAsia="仿宋_GB2312"/>
          <w:sz w:val="32"/>
          <w:szCs w:val="32"/>
          <w:highlight w:val="none"/>
        </w:rPr>
        <w:t>年度相比，财政拨款收入增加</w:t>
      </w:r>
      <w:r>
        <w:rPr>
          <w:rFonts w:hint="eastAsia" w:ascii="仿宋_GB2312" w:hAnsi="ˎ̥" w:eastAsia="仿宋_GB2312"/>
          <w:color w:val="FF0000"/>
          <w:sz w:val="32"/>
          <w:szCs w:val="32"/>
          <w:highlight w:val="none"/>
          <w:lang w:val="en-US" w:eastAsia="zh-CN"/>
        </w:rPr>
        <w:t>15.7</w:t>
      </w:r>
      <w:r>
        <w:rPr>
          <w:rFonts w:hint="eastAsia" w:ascii="仿宋_GB2312" w:hAnsi="ˎ̥" w:eastAsia="仿宋_GB2312"/>
          <w:sz w:val="32"/>
          <w:szCs w:val="32"/>
          <w:highlight w:val="none"/>
        </w:rPr>
        <w:t>万元，增长</w:t>
      </w:r>
      <w:r>
        <w:rPr>
          <w:rFonts w:hint="eastAsia" w:ascii="仿宋_GB2312" w:hAnsi="ˎ̥" w:eastAsia="仿宋_GB2312"/>
          <w:color w:val="FF0000"/>
          <w:sz w:val="32"/>
          <w:szCs w:val="32"/>
          <w:highlight w:val="none"/>
          <w:lang w:val="en-US" w:eastAsia="zh-CN"/>
        </w:rPr>
        <w:t>1.19</w:t>
      </w:r>
      <w:r>
        <w:rPr>
          <w:rFonts w:hint="eastAsia" w:ascii="仿宋_GB2312" w:hAnsi="ˎ̥" w:eastAsia="仿宋_GB2312"/>
          <w:sz w:val="32"/>
          <w:szCs w:val="32"/>
          <w:highlight w:val="none"/>
        </w:rPr>
        <w:t>%，主要原因：一是人员经费的增加；二是项目资金的增加。支出增加</w:t>
      </w:r>
      <w:r>
        <w:rPr>
          <w:rFonts w:hint="eastAsia" w:ascii="仿宋_GB2312" w:hAnsi="ˎ̥" w:eastAsia="仿宋_GB2312"/>
          <w:color w:val="FF0000"/>
          <w:sz w:val="32"/>
          <w:szCs w:val="32"/>
          <w:highlight w:val="none"/>
          <w:lang w:val="en-US" w:eastAsia="zh-CN"/>
        </w:rPr>
        <w:t>77.84</w:t>
      </w:r>
      <w:r>
        <w:rPr>
          <w:rFonts w:hint="eastAsia" w:ascii="仿宋_GB2312" w:hAnsi="ˎ̥" w:eastAsia="仿宋_GB2312"/>
          <w:sz w:val="32"/>
          <w:szCs w:val="32"/>
          <w:highlight w:val="none"/>
        </w:rPr>
        <w:t>万元，增长</w:t>
      </w:r>
      <w:r>
        <w:rPr>
          <w:rFonts w:hint="eastAsia" w:ascii="仿宋_GB2312" w:hAnsi="ˎ̥" w:eastAsia="仿宋_GB2312"/>
          <w:color w:val="FF0000"/>
          <w:sz w:val="32"/>
          <w:szCs w:val="32"/>
          <w:highlight w:val="none"/>
          <w:lang w:val="en-US" w:eastAsia="zh-CN"/>
        </w:rPr>
        <w:t>5.90</w:t>
      </w:r>
      <w:r>
        <w:rPr>
          <w:rFonts w:hint="eastAsia" w:ascii="仿宋_GB2312" w:hAnsi="ˎ̥" w:eastAsia="仿宋_GB2312"/>
          <w:sz w:val="32"/>
          <w:szCs w:val="32"/>
          <w:highlight w:val="none"/>
        </w:rPr>
        <w:t>%，主要原因</w:t>
      </w:r>
      <w:r>
        <w:rPr>
          <w:rFonts w:hint="eastAsia" w:ascii="仿宋_GB2312" w:hAnsi="ˎ̥" w:eastAsia="仿宋_GB2312"/>
          <w:sz w:val="32"/>
          <w:szCs w:val="32"/>
          <w:highlight w:val="none"/>
          <w:lang w:eastAsia="zh-CN"/>
        </w:rPr>
        <w:t>一是</w:t>
      </w:r>
      <w:r>
        <w:rPr>
          <w:rFonts w:hint="eastAsia" w:ascii="仿宋_GB2312" w:hAnsi="ˎ̥" w:eastAsia="仿宋_GB2312"/>
          <w:sz w:val="32"/>
          <w:szCs w:val="32"/>
          <w:highlight w:val="none"/>
        </w:rPr>
        <w:t>人员经费的增加，二是项目资金的增加。</w:t>
      </w:r>
    </w:p>
    <w:p w14:paraId="7CCE8161">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p>
    <w:p w14:paraId="48670F1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highlight w:val="none"/>
        </w:rPr>
        <w:t>财政拨款年初结转结余</w:t>
      </w:r>
      <w:r>
        <w:rPr>
          <w:rFonts w:hint="default" w:ascii="仿宋_GB2312" w:hAnsi="ˎ̥" w:eastAsia="仿宋_GB2312"/>
          <w:color w:val="FF0000"/>
          <w:sz w:val="32"/>
          <w:szCs w:val="32"/>
          <w:highlight w:val="none"/>
          <w:lang w:val="en-US"/>
        </w:rPr>
        <w:t>15.69</w:t>
      </w:r>
      <w:r>
        <w:rPr>
          <w:rFonts w:hint="eastAsia" w:ascii="仿宋_GB2312" w:hAnsi="ˎ̥" w:eastAsia="仿宋_GB2312"/>
          <w:sz w:val="32"/>
          <w:szCs w:val="32"/>
          <w:highlight w:val="none"/>
        </w:rPr>
        <w:t>万元，主要是上年项目资金</w:t>
      </w:r>
      <w:r>
        <w:rPr>
          <w:rFonts w:hint="eastAsia" w:ascii="仿宋_GB2312" w:hAnsi="ˎ̥" w:eastAsia="仿宋_GB2312"/>
          <w:sz w:val="32"/>
          <w:szCs w:val="32"/>
          <w:highlight w:val="none"/>
          <w:lang w:eastAsia="zh-CN"/>
        </w:rPr>
        <w:t>预留保修金</w:t>
      </w:r>
      <w:r>
        <w:rPr>
          <w:rFonts w:hint="eastAsia" w:ascii="仿宋_GB2312" w:hAnsi="ˎ̥" w:eastAsia="仿宋_GB2312"/>
          <w:sz w:val="32"/>
          <w:szCs w:val="32"/>
          <w:highlight w:val="none"/>
        </w:rPr>
        <w:t>，较202</w:t>
      </w:r>
      <w:r>
        <w:rPr>
          <w:rFonts w:ascii="仿宋_GB2312" w:hAnsi="ˎ̥" w:eastAsia="仿宋_GB2312"/>
          <w:sz w:val="32"/>
          <w:szCs w:val="32"/>
          <w:highlight w:val="none"/>
        </w:rPr>
        <w:t>2</w:t>
      </w:r>
      <w:r>
        <w:rPr>
          <w:rFonts w:hint="eastAsia" w:ascii="仿宋_GB2312" w:hAnsi="ˎ̥" w:eastAsia="仿宋_GB2312"/>
          <w:sz w:val="32"/>
          <w:szCs w:val="32"/>
          <w:highlight w:val="none"/>
        </w:rPr>
        <w:t>年度决算数增加</w:t>
      </w:r>
      <w:r>
        <w:rPr>
          <w:rFonts w:hint="eastAsia" w:ascii="仿宋_GB2312" w:hAnsi="ˎ̥" w:eastAsia="仿宋_GB2312"/>
          <w:color w:val="FF0000"/>
          <w:sz w:val="32"/>
          <w:szCs w:val="32"/>
          <w:highlight w:val="none"/>
          <w:lang w:val="en-US" w:eastAsia="zh-CN"/>
        </w:rPr>
        <w:t>15.69</w:t>
      </w:r>
      <w:r>
        <w:rPr>
          <w:rFonts w:hint="eastAsia" w:ascii="仿宋_GB2312" w:hAnsi="ˎ̥" w:eastAsia="仿宋_GB2312"/>
          <w:sz w:val="32"/>
          <w:szCs w:val="32"/>
          <w:highlight w:val="none"/>
        </w:rPr>
        <w:t>万元，增长</w:t>
      </w:r>
      <w:r>
        <w:rPr>
          <w:rFonts w:hint="eastAsia" w:ascii="仿宋_GB2312" w:hAnsi="ˎ̥" w:eastAsia="仿宋_GB2312"/>
          <w:color w:val="FF0000"/>
          <w:sz w:val="32"/>
          <w:szCs w:val="32"/>
          <w:highlight w:val="none"/>
          <w:lang w:val="en-US" w:eastAsia="zh-CN"/>
        </w:rPr>
        <w:t>100</w:t>
      </w:r>
      <w:r>
        <w:rPr>
          <w:rFonts w:hint="eastAsia" w:ascii="仿宋_GB2312" w:hAnsi="ˎ̥" w:eastAsia="仿宋_GB2312"/>
          <w:sz w:val="32"/>
          <w:szCs w:val="32"/>
          <w:highlight w:val="none"/>
        </w:rPr>
        <w:t>%，主要原因是有些项目</w:t>
      </w:r>
      <w:r>
        <w:rPr>
          <w:rFonts w:hint="eastAsia" w:ascii="仿宋_GB2312" w:hAnsi="ˎ̥" w:eastAsia="仿宋_GB2312"/>
          <w:sz w:val="32"/>
          <w:szCs w:val="32"/>
          <w:highlight w:val="none"/>
          <w:lang w:eastAsia="zh-CN"/>
        </w:rPr>
        <w:t>预留了保修金</w:t>
      </w:r>
      <w:r>
        <w:rPr>
          <w:rFonts w:hint="eastAsia" w:ascii="仿宋_GB2312" w:hAnsi="ˎ̥" w:eastAsia="仿宋_GB2312"/>
          <w:sz w:val="32"/>
          <w:szCs w:val="32"/>
          <w:highlight w:val="none"/>
        </w:rPr>
        <w:t>，导致需结转。</w:t>
      </w:r>
    </w:p>
    <w:p w14:paraId="7A5E81E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年度决算相关数据可取自财决公开04表。202</w:t>
      </w:r>
      <w:r>
        <w:rPr>
          <w:rFonts w:ascii="仿宋_GB2312" w:hAnsi="ˎ̥" w:eastAsia="仿宋_GB2312"/>
          <w:sz w:val="32"/>
          <w:szCs w:val="32"/>
        </w:rPr>
        <w:t>2</w:t>
      </w:r>
      <w:r>
        <w:rPr>
          <w:rFonts w:hint="eastAsia" w:ascii="仿宋_GB2312" w:hAnsi="ˎ̥" w:eastAsia="仿宋_GB2312"/>
          <w:sz w:val="32"/>
          <w:szCs w:val="32"/>
        </w:rPr>
        <w:t>年度决算相关数据可取自202</w:t>
      </w:r>
      <w:r>
        <w:rPr>
          <w:rFonts w:ascii="仿宋_GB2312" w:hAnsi="ˎ̥" w:eastAsia="仿宋_GB2312"/>
          <w:sz w:val="32"/>
          <w:szCs w:val="32"/>
        </w:rPr>
        <w:t>2</w:t>
      </w:r>
      <w:r>
        <w:rPr>
          <w:rFonts w:hint="eastAsia" w:ascii="仿宋_GB2312" w:hAnsi="ˎ̥" w:eastAsia="仿宋_GB2312"/>
          <w:sz w:val="32"/>
          <w:szCs w:val="32"/>
        </w:rPr>
        <w:t>年度部门决算报表财决01-1表《财政拨款收入支出决算总表》）</w:t>
      </w:r>
    </w:p>
    <w:p w14:paraId="224CDACA">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709651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highlight w:val="none"/>
        </w:rPr>
      </w:pPr>
      <w:bookmarkStart w:id="78" w:name="_Toc17398_WPSOffice_Level2"/>
      <w:bookmarkStart w:id="79" w:name="_Toc13694_WPSOffice_Level2"/>
      <w:bookmarkStart w:id="80" w:name="_Toc23005_WPSOffice_Level2"/>
      <w:bookmarkStart w:id="81" w:name="_Toc19665_WPSOffice_Level2"/>
      <w:bookmarkStart w:id="82" w:name="_Toc21737_WPSOffice_Level2"/>
      <w:bookmarkStart w:id="83" w:name="_Toc9989_WPSOffice_Level2"/>
      <w:r>
        <w:rPr>
          <w:rFonts w:hint="eastAsia" w:ascii="楷体" w:hAnsi="楷体" w:eastAsia="楷体" w:cs="楷体"/>
          <w:sz w:val="32"/>
          <w:szCs w:val="32"/>
          <w:highlight w:val="none"/>
        </w:rPr>
        <w:t>（一）一般公共预算财政拨款支出决算总体情况</w:t>
      </w:r>
      <w:bookmarkEnd w:id="78"/>
      <w:bookmarkEnd w:id="79"/>
      <w:r>
        <w:rPr>
          <w:rFonts w:hint="eastAsia" w:ascii="楷体" w:hAnsi="楷体" w:eastAsia="楷体" w:cs="楷体"/>
          <w:sz w:val="32"/>
          <w:szCs w:val="32"/>
          <w:highlight w:val="none"/>
        </w:rPr>
        <w:t>。</w:t>
      </w:r>
      <w:bookmarkEnd w:id="80"/>
      <w:bookmarkEnd w:id="81"/>
      <w:bookmarkEnd w:id="82"/>
      <w:bookmarkEnd w:id="83"/>
    </w:p>
    <w:p w14:paraId="22A408A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ˎ̥" w:eastAsia="仿宋_GB2312"/>
          <w:sz w:val="32"/>
          <w:szCs w:val="32"/>
          <w:highlight w:val="none"/>
        </w:rPr>
      </w:pPr>
      <w:r>
        <w:rPr>
          <w:rFonts w:hint="eastAsia" w:ascii="仿宋_GB2312" w:hAnsi="ˎ̥" w:eastAsia="仿宋_GB2312"/>
          <w:sz w:val="32"/>
          <w:szCs w:val="32"/>
          <w:highlight w:val="none"/>
        </w:rPr>
        <w:t>202</w:t>
      </w:r>
      <w:r>
        <w:rPr>
          <w:rFonts w:ascii="仿宋_GB2312" w:hAnsi="ˎ̥" w:eastAsia="仿宋_GB2312"/>
          <w:sz w:val="32"/>
          <w:szCs w:val="32"/>
          <w:highlight w:val="none"/>
        </w:rPr>
        <w:t>3</w:t>
      </w:r>
      <w:r>
        <w:rPr>
          <w:rFonts w:hint="eastAsia" w:ascii="仿宋_GB2312" w:hAnsi="ˎ̥" w:eastAsia="仿宋_GB2312"/>
          <w:sz w:val="32"/>
          <w:szCs w:val="32"/>
          <w:highlight w:val="none"/>
        </w:rPr>
        <w:t>年度一般公共预算财政拨款支出</w:t>
      </w:r>
      <w:r>
        <w:rPr>
          <w:rFonts w:hint="default" w:ascii="仿宋_GB2312" w:hAnsi="ˎ̥" w:eastAsia="仿宋_GB2312"/>
          <w:color w:val="FF0000"/>
          <w:sz w:val="32"/>
          <w:szCs w:val="32"/>
          <w:highlight w:val="none"/>
          <w:lang w:val="en-US"/>
        </w:rPr>
        <w:t>1,397.21</w:t>
      </w:r>
      <w:r>
        <w:rPr>
          <w:rFonts w:hint="eastAsia" w:ascii="仿宋_GB2312" w:hAnsi="ˎ̥" w:eastAsia="仿宋_GB2312"/>
          <w:sz w:val="32"/>
          <w:szCs w:val="32"/>
          <w:highlight w:val="none"/>
        </w:rPr>
        <w:t>万元，占本年支出合计的</w:t>
      </w:r>
      <w:r>
        <w:rPr>
          <w:rFonts w:hint="eastAsia" w:ascii="仿宋_GB2312" w:hAnsi="ˎ̥" w:eastAsia="仿宋_GB2312"/>
          <w:color w:val="FF0000"/>
          <w:sz w:val="32"/>
          <w:szCs w:val="32"/>
          <w:highlight w:val="none"/>
          <w:lang w:val="en-US" w:eastAsia="zh-CN"/>
        </w:rPr>
        <w:t>100</w:t>
      </w:r>
      <w:r>
        <w:rPr>
          <w:rFonts w:hint="eastAsia" w:ascii="仿宋_GB2312" w:hAnsi="ˎ̥" w:eastAsia="仿宋_GB2312"/>
          <w:sz w:val="32"/>
          <w:szCs w:val="32"/>
          <w:highlight w:val="none"/>
        </w:rPr>
        <w:t>%。与2022年度相比，一般公共预算财政拨款支出增加</w:t>
      </w:r>
      <w:r>
        <w:rPr>
          <w:rFonts w:hint="eastAsia" w:ascii="仿宋_GB2312" w:hAnsi="ˎ̥" w:eastAsia="仿宋_GB2312"/>
          <w:color w:val="FF0000"/>
          <w:sz w:val="32"/>
          <w:szCs w:val="32"/>
          <w:highlight w:val="none"/>
          <w:lang w:val="en-US" w:eastAsia="zh-CN"/>
        </w:rPr>
        <w:t>77.84</w:t>
      </w:r>
      <w:r>
        <w:rPr>
          <w:rFonts w:hint="eastAsia" w:ascii="仿宋_GB2312" w:hAnsi="ˎ̥" w:eastAsia="仿宋_GB2312"/>
          <w:sz w:val="32"/>
          <w:szCs w:val="32"/>
          <w:highlight w:val="none"/>
        </w:rPr>
        <w:t>万元，增长</w:t>
      </w:r>
      <w:r>
        <w:rPr>
          <w:rFonts w:hint="eastAsia" w:ascii="仿宋_GB2312" w:hAnsi="ˎ̥" w:eastAsia="仿宋_GB2312"/>
          <w:color w:val="FF0000"/>
          <w:sz w:val="32"/>
          <w:szCs w:val="32"/>
          <w:highlight w:val="none"/>
          <w:lang w:val="en-US" w:eastAsia="zh-CN"/>
        </w:rPr>
        <w:t>5.57</w:t>
      </w:r>
      <w:r>
        <w:rPr>
          <w:rFonts w:hint="eastAsia" w:ascii="仿宋_GB2312" w:hAnsi="ˎ̥" w:eastAsia="仿宋_GB2312"/>
          <w:sz w:val="32"/>
          <w:szCs w:val="32"/>
          <w:highlight w:val="none"/>
        </w:rPr>
        <w:t>%，主要原因</w:t>
      </w:r>
      <w:r>
        <w:rPr>
          <w:rFonts w:hint="eastAsia" w:ascii="仿宋_GB2312" w:hAnsi="ˎ̥" w:eastAsia="仿宋_GB2312"/>
          <w:sz w:val="32"/>
          <w:szCs w:val="32"/>
          <w:highlight w:val="none"/>
          <w:lang w:eastAsia="zh-CN"/>
        </w:rPr>
        <w:t>一</w:t>
      </w:r>
      <w:r>
        <w:rPr>
          <w:rFonts w:hint="eastAsia" w:ascii="仿宋_GB2312" w:hAnsi="ˎ̥" w:eastAsia="仿宋_GB2312"/>
          <w:sz w:val="32"/>
          <w:szCs w:val="32"/>
          <w:highlight w:val="none"/>
        </w:rPr>
        <w:t>是人员经费的增加，二是项目资金的增加。</w:t>
      </w:r>
    </w:p>
    <w:p w14:paraId="541E03D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bookmarkStart w:id="84" w:name="_Toc2711_WPSOffice_Level2"/>
      <w:bookmarkStart w:id="85" w:name="_Toc18793_WPSOffice_Level2"/>
      <w:bookmarkStart w:id="86" w:name="_Toc23864_WPSOffice_Level2"/>
      <w:bookmarkStart w:id="87" w:name="_Toc19535_WPSOffice_Level2"/>
      <w:bookmarkStart w:id="88" w:name="_Toc19075_WPSOffice_Level2"/>
      <w:bookmarkStart w:id="89" w:name="_Toc27767_WPSOffice_Level2"/>
      <w:r>
        <w:rPr>
          <w:rFonts w:hint="eastAsia" w:ascii="楷体" w:hAnsi="楷体" w:eastAsia="楷体" w:cs="楷体"/>
          <w:sz w:val="32"/>
          <w:szCs w:val="32"/>
        </w:rPr>
        <w:t>（二）一般公共预算财政拨款支出决算结构情况</w:t>
      </w:r>
      <w:bookmarkEnd w:id="84"/>
      <w:bookmarkEnd w:id="85"/>
      <w:r>
        <w:rPr>
          <w:rFonts w:hint="eastAsia" w:ascii="楷体" w:hAnsi="楷体" w:eastAsia="楷体" w:cs="楷体"/>
          <w:sz w:val="32"/>
          <w:szCs w:val="32"/>
        </w:rPr>
        <w:t>。</w:t>
      </w:r>
      <w:bookmarkEnd w:id="86"/>
      <w:bookmarkEnd w:id="87"/>
      <w:bookmarkEnd w:id="88"/>
      <w:bookmarkEnd w:id="89"/>
    </w:p>
    <w:p w14:paraId="23E3DC5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highlight w:val="none"/>
          <w:lang w:val="en-US" w:eastAsia="zh-CN"/>
        </w:rPr>
      </w:pPr>
      <w:r>
        <w:rPr>
          <w:rFonts w:hint="eastAsia" w:ascii="仿宋_GB2312" w:hAnsi="ˎ̥" w:eastAsia="仿宋_GB2312"/>
          <w:sz w:val="32"/>
          <w:szCs w:val="32"/>
          <w:highlight w:val="none"/>
        </w:rPr>
        <w:t>202</w:t>
      </w:r>
      <w:r>
        <w:rPr>
          <w:rFonts w:ascii="仿宋_GB2312" w:hAnsi="ˎ̥" w:eastAsia="仿宋_GB2312"/>
          <w:sz w:val="32"/>
          <w:szCs w:val="32"/>
          <w:highlight w:val="none"/>
        </w:rPr>
        <w:t>3</w:t>
      </w:r>
      <w:r>
        <w:rPr>
          <w:rFonts w:hint="eastAsia" w:ascii="仿宋_GB2312" w:hAnsi="ˎ̥" w:eastAsia="仿宋_GB2312"/>
          <w:sz w:val="32"/>
          <w:szCs w:val="32"/>
          <w:highlight w:val="none"/>
        </w:rPr>
        <w:t>年度一般公共预算财政拨款支出</w:t>
      </w:r>
      <w:r>
        <w:rPr>
          <w:rFonts w:hint="default" w:ascii="仿宋_GB2312" w:hAnsi="ˎ̥" w:eastAsia="仿宋_GB2312"/>
          <w:color w:val="FF0000"/>
          <w:sz w:val="32"/>
          <w:szCs w:val="32"/>
          <w:highlight w:val="none"/>
          <w:lang w:val="en-US"/>
        </w:rPr>
        <w:t>1,397.21</w:t>
      </w:r>
      <w:r>
        <w:rPr>
          <w:rFonts w:hint="eastAsia" w:ascii="仿宋_GB2312" w:hAnsi="ˎ̥" w:eastAsia="仿宋_GB2312"/>
          <w:sz w:val="32"/>
          <w:szCs w:val="32"/>
          <w:highlight w:val="none"/>
        </w:rPr>
        <w:t>万元，主要用于以下方面：</w:t>
      </w:r>
      <w:r>
        <w:rPr>
          <w:rFonts w:hint="eastAsia" w:ascii="仿宋_GB2312" w:hAnsi="ˎ̥" w:eastAsia="仿宋_GB2312"/>
          <w:b/>
          <w:sz w:val="32"/>
          <w:szCs w:val="32"/>
          <w:highlight w:val="none"/>
        </w:rPr>
        <w:t>一般公共服务</w:t>
      </w:r>
      <w:r>
        <w:rPr>
          <w:rFonts w:hint="eastAsia" w:ascii="仿宋_GB2312" w:hAnsi="ˎ̥" w:eastAsia="仿宋_GB2312"/>
          <w:sz w:val="32"/>
          <w:szCs w:val="32"/>
          <w:highlight w:val="none"/>
        </w:rPr>
        <w:t>支出</w:t>
      </w:r>
      <w:r>
        <w:rPr>
          <w:rFonts w:hint="eastAsia" w:ascii="仿宋_GB2312" w:hAnsi="ˎ̥" w:eastAsia="仿宋_GB2312"/>
          <w:color w:val="FF0000"/>
          <w:sz w:val="32"/>
          <w:szCs w:val="32"/>
          <w:highlight w:val="none"/>
          <w:lang w:val="en-US" w:eastAsia="zh-CN"/>
        </w:rPr>
        <w:t>1170.16</w:t>
      </w:r>
      <w:r>
        <w:rPr>
          <w:rFonts w:hint="eastAsia" w:ascii="仿宋_GB2312" w:hAnsi="ˎ̥" w:eastAsia="仿宋_GB2312"/>
          <w:sz w:val="32"/>
          <w:szCs w:val="32"/>
          <w:highlight w:val="none"/>
        </w:rPr>
        <w:t>万元，占</w:t>
      </w:r>
      <w:r>
        <w:rPr>
          <w:rFonts w:hint="eastAsia" w:ascii="仿宋_GB2312" w:hAnsi="ˎ̥" w:eastAsia="仿宋_GB2312"/>
          <w:color w:val="FF0000"/>
          <w:sz w:val="32"/>
          <w:szCs w:val="32"/>
          <w:highlight w:val="none"/>
          <w:lang w:val="en-US" w:eastAsia="zh-CN"/>
        </w:rPr>
        <w:t>83.75</w:t>
      </w:r>
      <w:r>
        <w:rPr>
          <w:rFonts w:hint="eastAsia" w:ascii="仿宋_GB2312" w:hAnsi="ˎ̥" w:eastAsia="仿宋_GB2312"/>
          <w:sz w:val="32"/>
          <w:szCs w:val="32"/>
          <w:highlight w:val="none"/>
        </w:rPr>
        <w:t>%；</w:t>
      </w:r>
      <w:r>
        <w:rPr>
          <w:rFonts w:hint="eastAsia" w:ascii="仿宋_GB2312" w:hAnsi="ˎ̥" w:eastAsia="仿宋_GB2312"/>
          <w:b/>
          <w:sz w:val="32"/>
          <w:szCs w:val="32"/>
          <w:highlight w:val="none"/>
        </w:rPr>
        <w:t>社会保障和就业</w:t>
      </w:r>
      <w:r>
        <w:rPr>
          <w:rFonts w:hint="eastAsia" w:ascii="仿宋_GB2312" w:hAnsi="ˎ̥" w:eastAsia="仿宋_GB2312"/>
          <w:sz w:val="32"/>
          <w:szCs w:val="32"/>
          <w:highlight w:val="none"/>
        </w:rPr>
        <w:t>支出</w:t>
      </w:r>
      <w:r>
        <w:rPr>
          <w:rFonts w:hint="eastAsia" w:ascii="仿宋_GB2312" w:hAnsi="ˎ̥" w:eastAsia="仿宋_GB2312"/>
          <w:color w:val="FF0000"/>
          <w:sz w:val="32"/>
          <w:szCs w:val="32"/>
          <w:highlight w:val="none"/>
          <w:lang w:val="en-US" w:eastAsia="zh-CN"/>
        </w:rPr>
        <w:t>84.56</w:t>
      </w:r>
      <w:r>
        <w:rPr>
          <w:rFonts w:hint="eastAsia" w:ascii="仿宋_GB2312" w:hAnsi="ˎ̥" w:eastAsia="仿宋_GB2312"/>
          <w:sz w:val="32"/>
          <w:szCs w:val="32"/>
          <w:highlight w:val="none"/>
        </w:rPr>
        <w:t>万元，占</w:t>
      </w:r>
      <w:r>
        <w:rPr>
          <w:rFonts w:hint="eastAsia" w:ascii="仿宋_GB2312" w:hAnsi="ˎ̥" w:eastAsia="仿宋_GB2312"/>
          <w:color w:val="FF0000"/>
          <w:sz w:val="32"/>
          <w:szCs w:val="32"/>
          <w:highlight w:val="none"/>
          <w:lang w:val="en-US" w:eastAsia="zh-CN"/>
        </w:rPr>
        <w:t>6.05</w:t>
      </w:r>
      <w:r>
        <w:rPr>
          <w:rFonts w:hint="eastAsia" w:ascii="仿宋_GB2312" w:hAnsi="ˎ̥" w:eastAsia="仿宋_GB2312"/>
          <w:sz w:val="32"/>
          <w:szCs w:val="32"/>
          <w:highlight w:val="none"/>
        </w:rPr>
        <w:t>%；</w:t>
      </w:r>
      <w:r>
        <w:rPr>
          <w:rFonts w:hint="eastAsia" w:ascii="仿宋_GB2312" w:hAnsi="ˎ̥" w:eastAsia="仿宋_GB2312"/>
          <w:b/>
          <w:bCs/>
          <w:sz w:val="32"/>
          <w:szCs w:val="32"/>
          <w:highlight w:val="none"/>
        </w:rPr>
        <w:t>住房保障</w:t>
      </w:r>
      <w:r>
        <w:rPr>
          <w:rFonts w:hint="eastAsia" w:ascii="仿宋_GB2312" w:hAnsi="ˎ̥" w:eastAsia="仿宋_GB2312"/>
          <w:sz w:val="32"/>
          <w:szCs w:val="32"/>
          <w:highlight w:val="none"/>
        </w:rPr>
        <w:t>支出</w:t>
      </w:r>
      <w:r>
        <w:rPr>
          <w:rFonts w:hint="eastAsia" w:ascii="仿宋_GB2312" w:hAnsi="ˎ̥" w:eastAsia="仿宋_GB2312"/>
          <w:color w:val="FF0000"/>
          <w:sz w:val="32"/>
          <w:szCs w:val="32"/>
          <w:highlight w:val="none"/>
          <w:lang w:val="en-US" w:eastAsia="zh-CN"/>
        </w:rPr>
        <w:t>91.39</w:t>
      </w:r>
      <w:r>
        <w:rPr>
          <w:rFonts w:hint="eastAsia" w:ascii="仿宋_GB2312" w:hAnsi="ˎ̥" w:eastAsia="仿宋_GB2312"/>
          <w:sz w:val="32"/>
          <w:szCs w:val="32"/>
          <w:highlight w:val="none"/>
        </w:rPr>
        <w:t>万元，占</w:t>
      </w:r>
      <w:r>
        <w:rPr>
          <w:rFonts w:hint="eastAsia" w:ascii="仿宋_GB2312" w:hAnsi="ˎ̥" w:eastAsia="仿宋_GB2312"/>
          <w:color w:val="FF0000"/>
          <w:sz w:val="32"/>
          <w:szCs w:val="32"/>
          <w:highlight w:val="none"/>
          <w:lang w:val="en-US" w:eastAsia="zh-CN"/>
        </w:rPr>
        <w:t>6.54</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，卫生健康支出</w:t>
      </w:r>
      <w:r>
        <w:rPr>
          <w:rFonts w:hint="eastAsia" w:ascii="仿宋_GB2312" w:hAnsi="ˎ̥" w:eastAsia="仿宋_GB2312"/>
          <w:sz w:val="32"/>
          <w:szCs w:val="32"/>
          <w:highlight w:val="none"/>
          <w:lang w:val="en-US" w:eastAsia="zh-CN"/>
        </w:rPr>
        <w:t>51.1</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占</w:t>
      </w:r>
      <w:r>
        <w:rPr>
          <w:rFonts w:hint="eastAsia" w:ascii="仿宋_GB2312" w:hAnsi="ˎ̥" w:eastAsia="仿宋_GB2312"/>
          <w:color w:val="FF0000"/>
          <w:sz w:val="32"/>
          <w:szCs w:val="32"/>
          <w:highlight w:val="none"/>
          <w:lang w:val="en-US" w:eastAsia="zh-CN"/>
        </w:rPr>
        <w:t>3.66</w:t>
      </w:r>
      <w:r>
        <w:rPr>
          <w:rFonts w:hint="eastAsia" w:ascii="仿宋_GB2312" w:hAnsi="ˎ̥" w:eastAsia="仿宋_GB2312"/>
          <w:sz w:val="32"/>
          <w:szCs w:val="32"/>
          <w:highlight w:val="none"/>
        </w:rPr>
        <w:t>%</w:t>
      </w:r>
    </w:p>
    <w:p w14:paraId="735D4B5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highlight w:val="none"/>
        </w:rPr>
      </w:pPr>
      <w:r>
        <w:rPr>
          <w:rFonts w:hint="eastAsia" w:ascii="仿宋_GB2312" w:hAnsi="ˎ̥" w:eastAsia="仿宋_GB2312"/>
          <w:sz w:val="32"/>
          <w:szCs w:val="32"/>
          <w:highlight w:val="none"/>
        </w:rPr>
        <w:t>（注</w:t>
      </w:r>
      <w:r>
        <w:rPr>
          <w:rFonts w:ascii="仿宋_GB2312" w:hAnsi="ˎ̥" w:eastAsia="仿宋_GB2312"/>
          <w:sz w:val="32"/>
          <w:szCs w:val="32"/>
          <w:highlight w:val="none"/>
        </w:rPr>
        <w:t>：</w:t>
      </w:r>
      <w:r>
        <w:rPr>
          <w:rFonts w:hint="eastAsia" w:ascii="仿宋_GB2312" w:hAnsi="ˎ̥" w:eastAsia="仿宋_GB2312"/>
          <w:sz w:val="32"/>
          <w:szCs w:val="32"/>
          <w:highlight w:val="none"/>
        </w:rPr>
        <w:t>根据各部门（单位）实际支出涉及的支出功能分类类级科目填列）</w:t>
      </w:r>
    </w:p>
    <w:p w14:paraId="183B9E1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highlight w:val="none"/>
        </w:rPr>
      </w:pPr>
      <w:bookmarkStart w:id="90" w:name="_Toc15415_WPSOffice_Level2"/>
      <w:bookmarkStart w:id="91" w:name="_Toc25136_WPSOffice_Level2"/>
      <w:bookmarkStart w:id="92" w:name="_Toc22318_WPSOffice_Level2"/>
      <w:bookmarkStart w:id="93" w:name="_Toc29364_WPSOffice_Level2"/>
      <w:bookmarkStart w:id="94" w:name="_Toc9502_WPSOffice_Level2"/>
      <w:bookmarkStart w:id="95" w:name="_Toc21701_WPSOffice_Level2"/>
      <w:r>
        <w:rPr>
          <w:rFonts w:hint="eastAsia" w:ascii="楷体" w:hAnsi="楷体" w:eastAsia="楷体" w:cs="楷体"/>
          <w:sz w:val="32"/>
          <w:szCs w:val="32"/>
          <w:highlight w:val="none"/>
        </w:rPr>
        <w:t>（三）一般公共预算财政拨款支出决算具体情况。</w:t>
      </w:r>
      <w:bookmarkEnd w:id="90"/>
      <w:bookmarkEnd w:id="91"/>
      <w:bookmarkEnd w:id="92"/>
      <w:bookmarkEnd w:id="93"/>
      <w:bookmarkEnd w:id="94"/>
      <w:bookmarkEnd w:id="95"/>
    </w:p>
    <w:p w14:paraId="286EBBF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highlight w:val="none"/>
        </w:rPr>
      </w:pPr>
      <w:r>
        <w:rPr>
          <w:rFonts w:hint="eastAsia" w:ascii="仿宋_GB2312" w:hAnsi="ˎ̥" w:eastAsia="仿宋_GB2312"/>
          <w:sz w:val="32"/>
          <w:szCs w:val="32"/>
          <w:highlight w:val="none"/>
        </w:rPr>
        <w:t>202</w:t>
      </w:r>
      <w:r>
        <w:rPr>
          <w:rFonts w:ascii="仿宋_GB2312" w:hAnsi="ˎ̥" w:eastAsia="仿宋_GB2312"/>
          <w:sz w:val="32"/>
          <w:szCs w:val="32"/>
          <w:highlight w:val="none"/>
        </w:rPr>
        <w:t>3</w:t>
      </w:r>
      <w:r>
        <w:rPr>
          <w:rFonts w:hint="eastAsia" w:ascii="仿宋_GB2312" w:hAnsi="ˎ̥" w:eastAsia="仿宋_GB2312"/>
          <w:sz w:val="32"/>
          <w:szCs w:val="32"/>
          <w:highlight w:val="none"/>
        </w:rPr>
        <w:t>年度一般公共预算财政拨款支出年初预算为</w:t>
      </w:r>
      <w:r>
        <w:rPr>
          <w:rFonts w:hint="eastAsia" w:ascii="仿宋_GB2312" w:hAnsi="ˎ̥" w:eastAsia="仿宋_GB2312"/>
          <w:color w:val="FF0000"/>
          <w:sz w:val="32"/>
          <w:szCs w:val="32"/>
          <w:highlight w:val="none"/>
          <w:lang w:val="en-US" w:eastAsia="zh-CN"/>
        </w:rPr>
        <w:t>1397.21</w:t>
      </w:r>
      <w:r>
        <w:rPr>
          <w:rFonts w:hint="eastAsia" w:ascii="仿宋_GB2312" w:hAnsi="ˎ̥" w:eastAsia="仿宋_GB2312"/>
          <w:sz w:val="32"/>
          <w:szCs w:val="32"/>
          <w:highlight w:val="none"/>
        </w:rPr>
        <w:t>万元，支出决算为</w:t>
      </w:r>
      <w:r>
        <w:rPr>
          <w:rFonts w:hint="default" w:ascii="仿宋_GB2312" w:hAnsi="ˎ̥" w:eastAsia="仿宋_GB2312"/>
          <w:color w:val="FF0000"/>
          <w:sz w:val="32"/>
          <w:szCs w:val="32"/>
          <w:highlight w:val="none"/>
          <w:lang w:val="en-US"/>
        </w:rPr>
        <w:t>1,397.21</w:t>
      </w:r>
      <w:r>
        <w:rPr>
          <w:rFonts w:hint="eastAsia" w:ascii="仿宋_GB2312" w:hAnsi="ˎ̥" w:eastAsia="仿宋_GB2312"/>
          <w:sz w:val="32"/>
          <w:szCs w:val="32"/>
          <w:highlight w:val="none"/>
        </w:rPr>
        <w:t>万元，完成年初预算的</w:t>
      </w:r>
      <w:r>
        <w:rPr>
          <w:rFonts w:hint="eastAsia" w:ascii="仿宋_GB2312" w:hAnsi="ˎ̥" w:eastAsia="仿宋_GB2312"/>
          <w:color w:val="FF0000"/>
          <w:sz w:val="32"/>
          <w:szCs w:val="32"/>
          <w:highlight w:val="none"/>
          <w:lang w:val="en-US" w:eastAsia="zh-CN"/>
        </w:rPr>
        <w:t>100</w:t>
      </w:r>
      <w:r>
        <w:rPr>
          <w:rFonts w:hint="eastAsia" w:ascii="仿宋_GB2312" w:hAnsi="ˎ̥" w:eastAsia="仿宋_GB2312"/>
          <w:sz w:val="32"/>
          <w:szCs w:val="32"/>
          <w:highlight w:val="none"/>
        </w:rPr>
        <w:t>%。其中：</w:t>
      </w:r>
    </w:p>
    <w:p w14:paraId="617BD662">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highlight w:val="none"/>
        </w:rPr>
      </w:pPr>
      <w:r>
        <w:rPr>
          <w:rFonts w:hint="eastAsia" w:ascii="仿宋_GB2312" w:hAnsi="ˎ̥" w:eastAsia="仿宋_GB2312"/>
          <w:sz w:val="32"/>
          <w:szCs w:val="32"/>
          <w:highlight w:val="none"/>
        </w:rPr>
        <w:t>基本支出</w:t>
      </w:r>
      <w:r>
        <w:rPr>
          <w:rFonts w:hint="eastAsia" w:ascii="仿宋_GB2312" w:hAnsi="ˎ̥" w:eastAsia="仿宋_GB2312"/>
          <w:color w:val="FF0000"/>
          <w:sz w:val="32"/>
          <w:szCs w:val="32"/>
          <w:highlight w:val="none"/>
          <w:lang w:val="en-US" w:eastAsia="zh-CN"/>
        </w:rPr>
        <w:t>888.62</w:t>
      </w:r>
      <w:r>
        <w:rPr>
          <w:rFonts w:hint="eastAsia" w:ascii="仿宋_GB2312" w:hAnsi="ˎ̥" w:eastAsia="仿宋_GB2312"/>
          <w:sz w:val="32"/>
          <w:szCs w:val="32"/>
          <w:highlight w:val="none"/>
        </w:rPr>
        <w:t>万元；项目支出</w:t>
      </w:r>
      <w:r>
        <w:rPr>
          <w:rFonts w:hint="eastAsia" w:ascii="仿宋_GB2312" w:hAnsi="ˎ̥" w:eastAsia="仿宋_GB2312"/>
          <w:color w:val="FF0000"/>
          <w:sz w:val="32"/>
          <w:szCs w:val="32"/>
          <w:highlight w:val="none"/>
          <w:lang w:val="en-US" w:eastAsia="zh-CN"/>
        </w:rPr>
        <w:t>508.59</w:t>
      </w:r>
      <w:r>
        <w:rPr>
          <w:rFonts w:hint="eastAsia" w:ascii="仿宋_GB2312" w:hAnsi="ˎ̥" w:eastAsia="仿宋_GB2312"/>
          <w:sz w:val="32"/>
          <w:szCs w:val="32"/>
          <w:highlight w:val="none"/>
        </w:rPr>
        <w:t>万元。</w:t>
      </w:r>
    </w:p>
    <w:p w14:paraId="24471D9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w:t>
      </w:r>
      <w:r>
        <w:rPr>
          <w:rFonts w:hint="eastAsia" w:ascii="仿宋_GB2312" w:hAnsi="ˎ̥" w:eastAsia="仿宋_GB2312"/>
          <w:b/>
          <w:sz w:val="32"/>
          <w:szCs w:val="32"/>
          <w:lang w:eastAsia="zh-CN"/>
        </w:rPr>
        <w:t>统战</w:t>
      </w:r>
      <w:r>
        <w:rPr>
          <w:rFonts w:hint="eastAsia" w:ascii="仿宋_GB2312" w:hAnsi="ˎ̥" w:eastAsia="仿宋_GB2312"/>
          <w:b/>
          <w:sz w:val="32"/>
          <w:szCs w:val="32"/>
        </w:rPr>
        <w:t>事务（款）行政运行（项）。</w:t>
      </w:r>
    </w:p>
    <w:p w14:paraId="7154815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highlight w:val="none"/>
        </w:rPr>
      </w:pPr>
      <w:r>
        <w:rPr>
          <w:rFonts w:hint="eastAsia" w:ascii="仿宋_GB2312" w:hAnsi="ˎ̥" w:eastAsia="仿宋_GB2312"/>
          <w:sz w:val="32"/>
          <w:szCs w:val="32"/>
          <w:highlight w:val="none"/>
        </w:rPr>
        <w:t>年初预算为</w:t>
      </w:r>
      <w:r>
        <w:rPr>
          <w:rFonts w:hint="eastAsia" w:ascii="仿宋_GB2312" w:hAnsi="ˎ̥" w:eastAsia="仿宋_GB2312"/>
          <w:color w:val="FF0000"/>
          <w:sz w:val="32"/>
          <w:szCs w:val="32"/>
          <w:highlight w:val="none"/>
          <w:lang w:val="en-US" w:eastAsia="zh-CN"/>
        </w:rPr>
        <w:t>10.57</w:t>
      </w:r>
      <w:r>
        <w:rPr>
          <w:rFonts w:hint="eastAsia" w:ascii="仿宋_GB2312" w:hAnsi="ˎ̥" w:eastAsia="仿宋_GB2312"/>
          <w:sz w:val="32"/>
          <w:szCs w:val="32"/>
          <w:highlight w:val="none"/>
        </w:rPr>
        <w:t>万元，支出决算为</w:t>
      </w:r>
      <w:r>
        <w:rPr>
          <w:rFonts w:hint="eastAsia" w:ascii="仿宋_GB2312" w:hAnsi="ˎ̥" w:eastAsia="仿宋_GB2312"/>
          <w:color w:val="FF0000"/>
          <w:sz w:val="32"/>
          <w:szCs w:val="32"/>
          <w:highlight w:val="none"/>
          <w:lang w:val="en-US" w:eastAsia="zh-CN"/>
        </w:rPr>
        <w:t>10.57</w:t>
      </w:r>
      <w:r>
        <w:rPr>
          <w:rFonts w:hint="eastAsia" w:ascii="仿宋_GB2312" w:hAnsi="ˎ̥" w:eastAsia="仿宋_GB2312"/>
          <w:sz w:val="32"/>
          <w:szCs w:val="32"/>
          <w:highlight w:val="none"/>
        </w:rPr>
        <w:t>万元，完成年初预算的</w:t>
      </w:r>
      <w:r>
        <w:rPr>
          <w:rFonts w:hint="eastAsia" w:ascii="仿宋_GB2312" w:hAnsi="ˎ̥" w:eastAsia="仿宋_GB2312"/>
          <w:color w:val="FF0000"/>
          <w:sz w:val="32"/>
          <w:szCs w:val="32"/>
          <w:highlight w:val="none"/>
          <w:lang w:val="en-US" w:eastAsia="zh-CN"/>
        </w:rPr>
        <w:t>100</w:t>
      </w:r>
      <w:r>
        <w:rPr>
          <w:rFonts w:hint="eastAsia" w:ascii="仿宋_GB2312" w:hAnsi="ˎ̥" w:eastAsia="仿宋_GB2312"/>
          <w:sz w:val="32"/>
          <w:szCs w:val="32"/>
          <w:highlight w:val="none"/>
        </w:rPr>
        <w:t>%。</w:t>
      </w:r>
    </w:p>
    <w:p w14:paraId="0DD4FC8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本部分支出决算数字可取自财决公开05表，年初预算数可取自各部门（单位）年初预算大本，根据各部门（单位）实际支出涉及的支出功能分类项级科目填列）</w:t>
      </w:r>
    </w:p>
    <w:p w14:paraId="3F76D21E">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1269B7C4">
      <w:pPr>
        <w:keepNext w:val="0"/>
        <w:keepLines w:val="0"/>
        <w:pageBreakBefore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888.62</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810.11</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78.50</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1EEECC32">
      <w:pPr>
        <w:keepNext w:val="0"/>
        <w:keepLines w:val="0"/>
        <w:pageBreakBefore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上述数字可取自财决公开06表，各部门（单位）根据实际支出情况，选列相应支出经济分类。）</w:t>
      </w:r>
    </w:p>
    <w:p w14:paraId="1A53BA42">
      <w:pPr>
        <w:keepNext w:val="0"/>
        <w:keepLines w:val="0"/>
        <w:pageBreakBefore w:val="0"/>
        <w:tabs>
          <w:tab w:val="center" w:pos="4473"/>
        </w:tabs>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7964286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1318F80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%。与202</w:t>
      </w:r>
      <w:r>
        <w:rPr>
          <w:rFonts w:ascii="仿宋_GB2312" w:hAnsi="ˎ̥" w:eastAsia="仿宋_GB2312"/>
          <w:sz w:val="32"/>
          <w:szCs w:val="32"/>
        </w:rPr>
        <w:t>2</w:t>
      </w:r>
      <w:r>
        <w:rPr>
          <w:rFonts w:hint="eastAsia" w:ascii="仿宋_GB2312" w:hAnsi="ˎ̥" w:eastAsia="仿宋_GB2312"/>
          <w:sz w:val="32"/>
          <w:szCs w:val="32"/>
        </w:rPr>
        <w:t>年度相比，政府性基金预算财政拨款支出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14:paraId="374410F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2DCD85F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0FE3C0F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根据各部门（单位）实际支出涉及的支出功能分类类级科目填列）</w:t>
      </w:r>
    </w:p>
    <w:p w14:paraId="1352137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381141E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6DB3EBCF">
      <w:pPr>
        <w:keepNext w:val="0"/>
        <w:keepLines w:val="0"/>
        <w:pageBreakBefore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根据各部门（单位）实际支出涉及的支出功能分类项级科目填列，本部分202</w:t>
      </w:r>
      <w:r>
        <w:rPr>
          <w:rFonts w:ascii="仿宋_GB2312" w:hAnsi="ˎ̥" w:eastAsia="仿宋_GB2312"/>
          <w:sz w:val="32"/>
          <w:szCs w:val="32"/>
        </w:rPr>
        <w:t>3</w:t>
      </w:r>
      <w:r>
        <w:rPr>
          <w:rFonts w:hint="eastAsia" w:ascii="仿宋_GB2312" w:hAnsi="ˎ̥" w:eastAsia="仿宋_GB2312"/>
          <w:sz w:val="32"/>
          <w:szCs w:val="32"/>
        </w:rPr>
        <w:t>年决算相关数据取自财决公开07表；202</w:t>
      </w:r>
      <w:r>
        <w:rPr>
          <w:rFonts w:ascii="仿宋_GB2312" w:hAnsi="ˎ̥" w:eastAsia="仿宋_GB2312"/>
          <w:sz w:val="32"/>
          <w:szCs w:val="32"/>
        </w:rPr>
        <w:t>2</w:t>
      </w:r>
      <w:r>
        <w:rPr>
          <w:rFonts w:hint="eastAsia" w:ascii="仿宋_GB2312" w:hAnsi="ˎ̥" w:eastAsia="仿宋_GB2312"/>
          <w:sz w:val="32"/>
          <w:szCs w:val="32"/>
        </w:rPr>
        <w:t>年决算相关数据取自财决09表《政府性基金预算财政拨款收入支出决算表》）</w:t>
      </w:r>
    </w:p>
    <w:p w14:paraId="3B74A747">
      <w:pPr>
        <w:keepNext w:val="0"/>
        <w:keepLines w:val="0"/>
        <w:pageBreakBefore w:val="0"/>
        <w:tabs>
          <w:tab w:val="center" w:pos="4473"/>
        </w:tabs>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52BFD85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27B6F83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%。与202</w:t>
      </w:r>
      <w:r>
        <w:rPr>
          <w:rFonts w:ascii="仿宋_GB2312" w:hAnsi="ˎ̥" w:eastAsia="仿宋_GB2312"/>
          <w:sz w:val="32"/>
          <w:szCs w:val="32"/>
        </w:rPr>
        <w:t>2</w:t>
      </w:r>
      <w:r>
        <w:rPr>
          <w:rFonts w:hint="eastAsia" w:ascii="仿宋_GB2312" w:hAnsi="ˎ̥" w:eastAsia="仿宋_GB2312"/>
          <w:sz w:val="32"/>
          <w:szCs w:val="32"/>
        </w:rPr>
        <w:t>年度相比，国有资本经营预算财政拨款支出增</w:t>
      </w:r>
      <w:r>
        <w:rPr>
          <w:rFonts w:hint="eastAsia" w:ascii="仿宋_GB2312" w:hAnsi="ˎ̥" w:eastAsia="仿宋_GB2312"/>
          <w:sz w:val="32"/>
          <w:szCs w:val="32"/>
          <w:lang w:eastAsia="zh-CN"/>
        </w:rPr>
        <w:t>减</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2E502E0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45EFB39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万元，主要（注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根据各部门（单位）实际支出涉及的支出功能分类类级科目填列）</w:t>
      </w:r>
    </w:p>
    <w:p w14:paraId="336BD10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6E808AA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189E1E2A">
      <w:pPr>
        <w:keepNext w:val="0"/>
        <w:keepLines w:val="0"/>
        <w:pageBreakBefore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根据各部门（单位）实际支出涉及的支出功能分类项级科目填列，本部分202</w:t>
      </w:r>
      <w:r>
        <w:rPr>
          <w:rFonts w:ascii="仿宋_GB2312" w:hAnsi="ˎ̥" w:eastAsia="仿宋_GB2312"/>
          <w:sz w:val="32"/>
          <w:szCs w:val="32"/>
        </w:rPr>
        <w:t>3</w:t>
      </w:r>
      <w:r>
        <w:rPr>
          <w:rFonts w:hint="eastAsia" w:ascii="仿宋_GB2312" w:hAnsi="ˎ̥" w:eastAsia="仿宋_GB2312"/>
          <w:sz w:val="32"/>
          <w:szCs w:val="32"/>
        </w:rPr>
        <w:t>年决算相关数据取自财决公开08表）。</w:t>
      </w:r>
    </w:p>
    <w:p w14:paraId="3318C52F">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727DED1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63F6B904">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202</w:t>
      </w:r>
      <w:r>
        <w:rPr>
          <w:rFonts w:ascii="仿宋_GB2312" w:hAnsi="ˎ̥" w:eastAsia="仿宋_GB2312"/>
          <w:sz w:val="32"/>
          <w:szCs w:val="32"/>
        </w:rPr>
        <w:t>3</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16.18</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16.18</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eastAsia" w:ascii="仿宋_GB2312" w:hAnsi="ˎ̥" w:eastAsia="仿宋_GB2312"/>
          <w:sz w:val="32"/>
          <w:szCs w:val="32"/>
        </w:rPr>
        <w:t>2022年度</w:t>
      </w:r>
      <w:r>
        <w:rPr>
          <w:rFonts w:ascii="仿宋_GB2312" w:hAnsi="ˎ̥" w:eastAsia="仿宋_GB2312"/>
          <w:sz w:val="32"/>
          <w:szCs w:val="32"/>
        </w:rPr>
        <w:t>相比，</w:t>
      </w:r>
      <w:r>
        <w:rPr>
          <w:rFonts w:hint="eastAsia" w:ascii="仿宋_GB2312" w:hAnsi="ˎ̥" w:eastAsia="仿宋_GB2312"/>
          <w:sz w:val="32"/>
          <w:szCs w:val="32"/>
        </w:rPr>
        <w:t>“三公”经费支出减少</w:t>
      </w:r>
      <w:r>
        <w:rPr>
          <w:rFonts w:hint="eastAsia" w:ascii="仿宋_GB2312" w:hAnsi="ˎ̥" w:eastAsia="仿宋_GB2312"/>
          <w:color w:val="FF0000"/>
          <w:sz w:val="32"/>
          <w:szCs w:val="32"/>
          <w:lang w:val="en-US" w:eastAsia="zh-CN"/>
        </w:rPr>
        <w:t>0.99</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color w:val="FF0000"/>
          <w:sz w:val="32"/>
          <w:szCs w:val="32"/>
          <w:lang w:val="en-US" w:eastAsia="zh-CN"/>
        </w:rPr>
        <w:t>5.77</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eastAsia="zh-CN"/>
        </w:rPr>
        <w:t>出差次数减少</w:t>
      </w:r>
      <w:r>
        <w:rPr>
          <w:rFonts w:hint="eastAsia" w:ascii="仿宋_GB2312" w:hAnsi="ˎ̥" w:eastAsia="仿宋_GB2312"/>
          <w:sz w:val="32"/>
          <w:szCs w:val="32"/>
        </w:rPr>
        <w:t>。</w:t>
      </w:r>
    </w:p>
    <w:p w14:paraId="02A70F1E">
      <w:pPr>
        <w:keepNext w:val="0"/>
        <w:keepLines w:val="0"/>
        <w:pageBreakBefore w:val="0"/>
        <w:kinsoku/>
        <w:wordWrap/>
        <w:overflowPunct/>
        <w:topLinePunct w:val="0"/>
        <w:autoSpaceDE/>
        <w:autoSpaceDN/>
        <w:bidi w:val="0"/>
        <w:adjustRightInd/>
        <w:snapToGrid/>
        <w:spacing w:line="576"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17EBE64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2023年度财政拨款“三公”经费支出决算中，因公出国（境）费支出决算</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16.18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%。具体情况如下：</w:t>
      </w:r>
    </w:p>
    <w:p w14:paraId="45BEC500">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万元。全年安排因公出国（境）团组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14:paraId="134FD99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因公出国（境）费支出决算比预算数增</w:t>
      </w:r>
      <w:r>
        <w:rPr>
          <w:rFonts w:hint="eastAsia" w:ascii="仿宋_GB2312" w:hAnsi="ˎ̥" w:eastAsia="仿宋_GB2312"/>
          <w:sz w:val="32"/>
          <w:szCs w:val="32"/>
          <w:lang w:eastAsia="zh-CN"/>
        </w:rPr>
        <w:t>、</w:t>
      </w:r>
      <w:r>
        <w:rPr>
          <w:rFonts w:hint="eastAsia" w:ascii="仿宋_GB2312" w:hAnsi="ˎ̥" w:eastAsia="仿宋_GB2312"/>
          <w:sz w:val="32"/>
          <w:szCs w:val="32"/>
        </w:rPr>
        <w:t>减</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万元，增</w:t>
      </w:r>
      <w:r>
        <w:rPr>
          <w:rFonts w:hint="eastAsia" w:ascii="仿宋_GB2312" w:hAnsi="ˎ̥" w:eastAsia="仿宋_GB2312"/>
          <w:sz w:val="32"/>
          <w:szCs w:val="32"/>
          <w:lang w:eastAsia="zh-CN"/>
        </w:rPr>
        <w:t>、</w:t>
      </w:r>
      <w:r>
        <w:rPr>
          <w:rFonts w:hint="eastAsia" w:ascii="仿宋_GB2312" w:hAnsi="ˎ̥" w:eastAsia="仿宋_GB2312"/>
          <w:sz w:val="32"/>
          <w:szCs w:val="32"/>
        </w:rPr>
        <w:t>降</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%。与2022年度</w:t>
      </w:r>
      <w:r>
        <w:rPr>
          <w:rFonts w:ascii="仿宋_GB2312" w:hAnsi="ˎ̥" w:eastAsia="仿宋_GB2312"/>
          <w:sz w:val="32"/>
          <w:szCs w:val="32"/>
        </w:rPr>
        <w:t>相比，</w:t>
      </w:r>
      <w:r>
        <w:rPr>
          <w:rFonts w:hint="eastAsia" w:ascii="仿宋_GB2312" w:hAnsi="ˎ̥" w:eastAsia="仿宋_GB2312"/>
          <w:sz w:val="32"/>
          <w:szCs w:val="32"/>
        </w:rPr>
        <w:t>因公出国（境）费支出增</w:t>
      </w:r>
      <w:r>
        <w:rPr>
          <w:rFonts w:hint="eastAsia" w:ascii="仿宋_GB2312" w:hAnsi="ˎ̥" w:eastAsia="仿宋_GB2312"/>
          <w:sz w:val="32"/>
          <w:szCs w:val="32"/>
          <w:lang w:eastAsia="zh-CN"/>
        </w:rPr>
        <w:t>、</w:t>
      </w:r>
      <w:r>
        <w:rPr>
          <w:rFonts w:hint="eastAsia" w:ascii="仿宋_GB2312" w:hAnsi="ˎ̥" w:eastAsia="仿宋_GB2312"/>
          <w:sz w:val="32"/>
          <w:szCs w:val="32"/>
        </w:rPr>
        <w:t>减</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ascii="仿宋_GB2312" w:hAnsi="ˎ̥" w:eastAsia="仿宋_GB2312"/>
          <w:sz w:val="32"/>
          <w:szCs w:val="32"/>
        </w:rPr>
        <w:t>，增</w:t>
      </w:r>
      <w:r>
        <w:rPr>
          <w:rFonts w:hint="eastAsia" w:ascii="仿宋_GB2312" w:hAnsi="ˎ̥" w:eastAsia="仿宋_GB2312"/>
          <w:sz w:val="32"/>
          <w:szCs w:val="32"/>
          <w:lang w:eastAsia="zh-CN"/>
        </w:rPr>
        <w:t>、</w:t>
      </w:r>
      <w:r>
        <w:rPr>
          <w:rFonts w:hint="eastAsia" w:ascii="仿宋_GB2312" w:hAnsi="ˎ̥" w:eastAsia="仿宋_GB2312"/>
          <w:sz w:val="32"/>
          <w:szCs w:val="32"/>
        </w:rPr>
        <w:t>降</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%，主要原因是</w:t>
      </w:r>
      <w:r>
        <w:rPr>
          <w:rFonts w:hint="eastAsia" w:ascii="仿宋_GB2312" w:hAnsi="ˎ̥" w:eastAsia="仿宋_GB2312"/>
          <w:sz w:val="32"/>
          <w:szCs w:val="32"/>
          <w:lang w:eastAsia="zh-CN"/>
        </w:rPr>
        <w:t>无</w:t>
      </w:r>
      <w:r>
        <w:rPr>
          <w:rFonts w:hint="eastAsia" w:ascii="仿宋_GB2312" w:hAnsi="ˎ̥" w:eastAsia="仿宋_GB2312"/>
          <w:sz w:val="32"/>
          <w:szCs w:val="32"/>
        </w:rPr>
        <w:t>因公出国</w:t>
      </w:r>
      <w:r>
        <w:rPr>
          <w:rFonts w:hint="eastAsia" w:ascii="仿宋_GB2312" w:hAnsi="ˎ̥" w:eastAsia="仿宋_GB2312"/>
          <w:sz w:val="32"/>
          <w:szCs w:val="32"/>
          <w:lang w:eastAsia="zh-CN"/>
        </w:rPr>
        <w:t>经费</w:t>
      </w:r>
      <w:r>
        <w:rPr>
          <w:rFonts w:hint="eastAsia" w:ascii="仿宋_GB2312" w:hAnsi="ˎ̥" w:eastAsia="仿宋_GB2312"/>
          <w:sz w:val="32"/>
          <w:szCs w:val="32"/>
        </w:rPr>
        <w:t>。</w:t>
      </w:r>
    </w:p>
    <w:p w14:paraId="5F935667">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2.公务用车购置及运行维护费支出</w:t>
      </w:r>
      <w:r>
        <w:rPr>
          <w:rFonts w:hint="default" w:ascii="仿宋_GB2312" w:hAnsi="ˎ̥" w:eastAsia="仿宋_GB2312"/>
          <w:color w:val="FF0000"/>
          <w:sz w:val="32"/>
          <w:szCs w:val="32"/>
          <w:lang w:val="en-US"/>
        </w:rPr>
        <w:t>16.18</w:t>
      </w:r>
      <w:r>
        <w:rPr>
          <w:rFonts w:hint="eastAsia" w:ascii="仿宋_GB2312" w:hAnsi="ˎ̥" w:eastAsia="仿宋_GB2312"/>
          <w:sz w:val="32"/>
          <w:szCs w:val="32"/>
        </w:rPr>
        <w:t>万元。其中：</w:t>
      </w:r>
    </w:p>
    <w:p w14:paraId="1CC1D643">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公务用车购置支</w:t>
      </w:r>
      <w:r>
        <w:rPr>
          <w:rFonts w:hint="eastAsia" w:ascii="仿宋_GB2312" w:hAnsi="ˎ̥" w:eastAsia="仿宋_GB2312"/>
          <w:b/>
          <w:sz w:val="32"/>
          <w:szCs w:val="32"/>
          <w:lang w:eastAsia="zh-CN"/>
        </w:rPr>
        <w:t>出</w:t>
      </w:r>
      <w:r>
        <w:rPr>
          <w:rFonts w:hint="eastAsia" w:ascii="仿宋_GB2312" w:hAnsi="ˎ̥" w:eastAsia="仿宋_GB2312"/>
          <w:b/>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辆，主要用于</w:t>
      </w:r>
      <w:r>
        <w:rPr>
          <w:rFonts w:hint="eastAsia" w:ascii="仿宋_GB2312" w:hAnsi="ˎ̥" w:eastAsia="仿宋_GB2312"/>
          <w:sz w:val="32"/>
          <w:szCs w:val="32"/>
          <w:lang w:eastAsia="zh-CN"/>
        </w:rPr>
        <w:t>出差</w:t>
      </w:r>
      <w:r>
        <w:rPr>
          <w:rFonts w:hint="eastAsia" w:ascii="仿宋_GB2312" w:hAnsi="ˎ̥" w:eastAsia="仿宋_GB2312"/>
          <w:sz w:val="32"/>
          <w:szCs w:val="32"/>
        </w:rPr>
        <w:t>，年末公务用车保有量</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w:t>
      </w:r>
    </w:p>
    <w:p w14:paraId="0A2D7D31">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16.18</w:t>
      </w:r>
      <w:r>
        <w:rPr>
          <w:rFonts w:hint="eastAsia" w:ascii="仿宋_GB2312" w:hAnsi="ˎ̥" w:eastAsia="仿宋_GB2312"/>
          <w:sz w:val="32"/>
          <w:szCs w:val="32"/>
        </w:rPr>
        <w:t>万元，主要用于</w:t>
      </w:r>
      <w:r>
        <w:rPr>
          <w:rFonts w:hint="eastAsia" w:ascii="仿宋_GB2312" w:hAnsi="ˎ̥" w:eastAsia="仿宋_GB2312"/>
          <w:sz w:val="32"/>
          <w:szCs w:val="32"/>
          <w:lang w:eastAsia="zh-CN"/>
        </w:rPr>
        <w:t>燃油和运行维护费</w:t>
      </w:r>
      <w:r>
        <w:rPr>
          <w:rFonts w:hint="eastAsia" w:ascii="仿宋_GB2312" w:hAnsi="ˎ̥" w:eastAsia="仿宋_GB2312"/>
          <w:sz w:val="32"/>
          <w:szCs w:val="32"/>
        </w:rPr>
        <w:t>。</w:t>
      </w:r>
    </w:p>
    <w:p w14:paraId="23C3289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比预算数增</w:t>
      </w:r>
      <w:r>
        <w:rPr>
          <w:rFonts w:hint="eastAsia" w:ascii="仿宋_GB2312" w:hAnsi="ˎ̥" w:eastAsia="仿宋_GB2312"/>
          <w:sz w:val="32"/>
          <w:szCs w:val="32"/>
          <w:lang w:eastAsia="zh-CN"/>
        </w:rPr>
        <w:t>、</w:t>
      </w:r>
      <w:r>
        <w:rPr>
          <w:rFonts w:hint="eastAsia" w:ascii="仿宋_GB2312" w:hAnsi="ˎ̥" w:eastAsia="仿宋_GB2312"/>
          <w:sz w:val="32"/>
          <w:szCs w:val="32"/>
        </w:rPr>
        <w:t>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万元，增</w:t>
      </w:r>
      <w:r>
        <w:rPr>
          <w:rFonts w:hint="eastAsia" w:ascii="仿宋_GB2312" w:hAnsi="ˎ̥" w:eastAsia="仿宋_GB2312"/>
          <w:sz w:val="32"/>
          <w:szCs w:val="32"/>
          <w:lang w:eastAsia="zh-CN"/>
        </w:rPr>
        <w:t>、</w:t>
      </w:r>
      <w:r>
        <w:rPr>
          <w:rFonts w:hint="eastAsia" w:ascii="仿宋_GB2312" w:hAnsi="ˎ̥" w:eastAsia="仿宋_GB2312"/>
          <w:sz w:val="32"/>
          <w:szCs w:val="32"/>
        </w:rPr>
        <w:t>降</w:t>
      </w:r>
      <w:r>
        <w:rPr>
          <w:rFonts w:hint="eastAsia" w:ascii="仿宋_GB2312" w:hAnsi="ˎ̥" w:eastAsia="仿宋_GB2312"/>
          <w:sz w:val="32"/>
          <w:szCs w:val="32"/>
          <w:lang w:val="en-US" w:eastAsia="zh-CN"/>
        </w:rPr>
        <w:t>0</w:t>
      </w:r>
      <w:r>
        <w:rPr>
          <w:rFonts w:hint="eastAsia" w:ascii="仿宋_GB2312" w:hAnsi="ˎ̥" w:eastAsia="仿宋_GB2312"/>
          <w:sz w:val="32"/>
          <w:szCs w:val="32"/>
        </w:rPr>
        <w:t>%。与2022年度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支出减少</w:t>
      </w:r>
      <w:r>
        <w:rPr>
          <w:rFonts w:hint="eastAsia" w:ascii="仿宋_GB2312" w:hAnsi="ˎ̥" w:eastAsia="仿宋_GB2312"/>
          <w:color w:val="FF0000"/>
          <w:sz w:val="32"/>
          <w:szCs w:val="32"/>
          <w:lang w:val="en-US" w:eastAsia="zh-CN"/>
        </w:rPr>
        <w:t>0.99</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5.77</w:t>
      </w:r>
      <w:r>
        <w:rPr>
          <w:rFonts w:hint="eastAsia" w:ascii="仿宋_GB2312" w:hAnsi="ˎ̥" w:eastAsia="仿宋_GB2312"/>
          <w:sz w:val="32"/>
          <w:szCs w:val="32"/>
        </w:rPr>
        <w:t>%，主要原因是</w:t>
      </w:r>
      <w:r>
        <w:rPr>
          <w:rFonts w:hint="eastAsia" w:ascii="仿宋_GB2312" w:hAnsi="ˎ̥" w:eastAsia="仿宋_GB2312"/>
          <w:sz w:val="32"/>
          <w:szCs w:val="32"/>
          <w:lang w:eastAsia="zh-CN"/>
        </w:rPr>
        <w:t>出差次数减少</w:t>
      </w:r>
      <w:r>
        <w:rPr>
          <w:rFonts w:hint="eastAsia" w:ascii="仿宋_GB2312" w:hAnsi="ˎ̥" w:eastAsia="仿宋_GB2312"/>
          <w:sz w:val="32"/>
          <w:szCs w:val="32"/>
        </w:rPr>
        <w:t>。</w:t>
      </w:r>
    </w:p>
    <w:p w14:paraId="74A240CE">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万元，其中：</w:t>
      </w:r>
    </w:p>
    <w:p w14:paraId="7C0A8541">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万元，国内公务接待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r>
        <w:rPr>
          <w:rFonts w:hint="eastAsia" w:ascii="仿宋_GB2312" w:hAnsi="ˎ̥" w:eastAsia="仿宋_GB2312"/>
          <w:sz w:val="32"/>
          <w:szCs w:val="32"/>
          <w:lang w:eastAsia="zh-CN"/>
        </w:rPr>
        <w:t>。</w:t>
      </w:r>
      <w:r>
        <w:rPr>
          <w:rFonts w:hint="eastAsia" w:ascii="仿宋_GB2312" w:hAnsi="ˎ̥" w:eastAsia="仿宋_GB2312"/>
          <w:b/>
          <w:bCs/>
          <w:sz w:val="32"/>
          <w:szCs w:val="32"/>
        </w:rPr>
        <w:t>国（境）外接待费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万元，国（境）外公务接待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14:paraId="1DB569B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公务接待费支出决算数比预算数增</w:t>
      </w:r>
      <w:r>
        <w:rPr>
          <w:rFonts w:hint="eastAsia" w:ascii="仿宋_GB2312" w:hAnsi="ˎ̥" w:eastAsia="仿宋_GB2312"/>
          <w:sz w:val="32"/>
          <w:szCs w:val="32"/>
          <w:lang w:eastAsia="zh-CN"/>
        </w:rPr>
        <w:t>、</w:t>
      </w:r>
      <w:r>
        <w:rPr>
          <w:rFonts w:hint="eastAsia" w:ascii="仿宋_GB2312" w:hAnsi="ˎ̥" w:eastAsia="仿宋_GB2312"/>
          <w:sz w:val="32"/>
          <w:szCs w:val="32"/>
        </w:rPr>
        <w:t>减</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万元，增</w:t>
      </w:r>
      <w:r>
        <w:rPr>
          <w:rFonts w:hint="eastAsia" w:ascii="仿宋_GB2312" w:hAnsi="ˎ̥" w:eastAsia="仿宋_GB2312"/>
          <w:sz w:val="32"/>
          <w:szCs w:val="32"/>
          <w:lang w:eastAsia="zh-CN"/>
        </w:rPr>
        <w:t>、</w:t>
      </w:r>
      <w:r>
        <w:rPr>
          <w:rFonts w:hint="eastAsia" w:ascii="仿宋_GB2312" w:hAnsi="ˎ̥" w:eastAsia="仿宋_GB2312"/>
          <w:sz w:val="32"/>
          <w:szCs w:val="32"/>
        </w:rPr>
        <w:t>降</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%。与2022年度</w:t>
      </w:r>
      <w:r>
        <w:rPr>
          <w:rFonts w:ascii="仿宋_GB2312" w:hAnsi="ˎ̥" w:eastAsia="仿宋_GB2312"/>
          <w:sz w:val="32"/>
          <w:szCs w:val="32"/>
        </w:rPr>
        <w:t>相比，</w:t>
      </w:r>
      <w:r>
        <w:rPr>
          <w:rFonts w:hint="eastAsia" w:ascii="仿宋_GB2312" w:hAnsi="ˎ̥" w:eastAsia="仿宋_GB2312"/>
          <w:bCs/>
          <w:sz w:val="32"/>
          <w:szCs w:val="32"/>
        </w:rPr>
        <w:t>公务接待费</w:t>
      </w:r>
      <w:r>
        <w:rPr>
          <w:rFonts w:hint="eastAsia" w:ascii="仿宋_GB2312" w:hAnsi="ˎ̥" w:eastAsia="仿宋_GB2312"/>
          <w:sz w:val="32"/>
          <w:szCs w:val="32"/>
        </w:rPr>
        <w:t>支出增</w:t>
      </w:r>
      <w:r>
        <w:rPr>
          <w:rFonts w:hint="eastAsia" w:ascii="仿宋_GB2312" w:hAnsi="ˎ̥" w:eastAsia="仿宋_GB2312"/>
          <w:sz w:val="32"/>
          <w:szCs w:val="32"/>
          <w:lang w:eastAsia="zh-CN"/>
        </w:rPr>
        <w:t>、</w:t>
      </w:r>
      <w:r>
        <w:rPr>
          <w:rFonts w:hint="eastAsia" w:ascii="仿宋_GB2312" w:hAnsi="ˎ̥" w:eastAsia="仿宋_GB2312"/>
          <w:sz w:val="32"/>
          <w:szCs w:val="32"/>
        </w:rPr>
        <w:t>减</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ascii="仿宋_GB2312" w:hAnsi="ˎ̥" w:eastAsia="仿宋_GB2312"/>
          <w:sz w:val="32"/>
          <w:szCs w:val="32"/>
        </w:rPr>
        <w:t>，增</w:t>
      </w:r>
      <w:r>
        <w:rPr>
          <w:rFonts w:hint="eastAsia" w:ascii="仿宋_GB2312" w:hAnsi="ˎ̥" w:eastAsia="仿宋_GB2312"/>
          <w:sz w:val="32"/>
          <w:szCs w:val="32"/>
          <w:lang w:eastAsia="zh-CN"/>
        </w:rPr>
        <w:t>、</w:t>
      </w:r>
      <w:r>
        <w:rPr>
          <w:rFonts w:hint="eastAsia" w:ascii="仿宋_GB2312" w:hAnsi="ˎ̥" w:eastAsia="仿宋_GB2312"/>
          <w:sz w:val="32"/>
          <w:szCs w:val="32"/>
        </w:rPr>
        <w:t>降</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049BB32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年度“三公”经费预算数、决算数可取自财决公开09表，出国团组数、出国人次，公务用车购置数、公务用车保有量，接待团组数、接待人次可取自部门决算报表F03表《机构运行信息表》，2022年度相关</w:t>
      </w:r>
      <w:r>
        <w:rPr>
          <w:rFonts w:ascii="仿宋_GB2312" w:hAnsi="ˎ̥" w:eastAsia="仿宋_GB2312"/>
          <w:sz w:val="32"/>
          <w:szCs w:val="32"/>
        </w:rPr>
        <w:t>数据</w:t>
      </w:r>
      <w:r>
        <w:rPr>
          <w:rFonts w:hint="eastAsia" w:ascii="仿宋_GB2312" w:hAnsi="ˎ̥" w:eastAsia="仿宋_GB2312"/>
          <w:sz w:val="32"/>
          <w:szCs w:val="32"/>
        </w:rPr>
        <w:t>可取自2022年度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rPr>
        <w:t>）。</w:t>
      </w:r>
    </w:p>
    <w:p w14:paraId="313F39F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47AB944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tbl>
      <w:tblPr>
        <w:tblStyle w:val="7"/>
        <w:tblW w:w="9544" w:type="dxa"/>
        <w:tblInd w:w="108" w:type="dxa"/>
        <w:tblLayout w:type="autofit"/>
        <w:tblCellMar>
          <w:top w:w="0" w:type="dxa"/>
          <w:left w:w="108" w:type="dxa"/>
          <w:bottom w:w="0" w:type="dxa"/>
          <w:right w:w="108" w:type="dxa"/>
        </w:tblCellMar>
      </w:tblPr>
      <w:tblGrid>
        <w:gridCol w:w="1909"/>
        <w:gridCol w:w="1173"/>
        <w:gridCol w:w="654"/>
        <w:gridCol w:w="3165"/>
        <w:gridCol w:w="2643"/>
      </w:tblGrid>
      <w:tr w14:paraId="0E3CF213">
        <w:tblPrEx>
          <w:tblCellMar>
            <w:top w:w="0" w:type="dxa"/>
            <w:left w:w="108" w:type="dxa"/>
            <w:bottom w:w="0" w:type="dxa"/>
            <w:right w:w="108" w:type="dxa"/>
          </w:tblCellMar>
        </w:tblPrEx>
        <w:trPr>
          <w:trHeight w:val="617" w:hRule="atLeast"/>
        </w:trPr>
        <w:tc>
          <w:tcPr>
            <w:tcW w:w="9544" w:type="dxa"/>
            <w:gridSpan w:val="5"/>
            <w:tcBorders>
              <w:top w:val="nil"/>
              <w:left w:val="nil"/>
              <w:bottom w:val="nil"/>
              <w:right w:val="nil"/>
            </w:tcBorders>
            <w:shd w:val="clear" w:color="auto" w:fill="auto"/>
            <w:noWrap/>
            <w:vAlign w:val="center"/>
          </w:tcPr>
          <w:p w14:paraId="31CD4A79">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仿宋" w:hAnsi="仿宋" w:eastAsia="仿宋" w:cs="宋体"/>
                <w:b/>
                <w:bCs/>
                <w:color w:val="000000"/>
                <w:kern w:val="0"/>
                <w:sz w:val="32"/>
                <w:szCs w:val="32"/>
              </w:rPr>
            </w:pPr>
          </w:p>
          <w:p w14:paraId="3134BDF2">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部门整体支出绩效评价结论</w:t>
            </w:r>
          </w:p>
        </w:tc>
      </w:tr>
      <w:tr w14:paraId="02BDC04E">
        <w:tblPrEx>
          <w:tblCellMar>
            <w:top w:w="0" w:type="dxa"/>
            <w:left w:w="108" w:type="dxa"/>
            <w:bottom w:w="0" w:type="dxa"/>
            <w:right w:w="108" w:type="dxa"/>
          </w:tblCellMar>
        </w:tblPrEx>
        <w:trPr>
          <w:trHeight w:val="1317" w:hRule="atLeast"/>
        </w:trPr>
        <w:tc>
          <w:tcPr>
            <w:tcW w:w="9544" w:type="dxa"/>
            <w:gridSpan w:val="5"/>
            <w:tcBorders>
              <w:top w:val="nil"/>
              <w:left w:val="nil"/>
              <w:bottom w:val="nil"/>
              <w:right w:val="nil"/>
            </w:tcBorders>
            <w:shd w:val="clear" w:color="auto" w:fill="auto"/>
            <w:noWrap w:val="0"/>
            <w:vAlign w:val="center"/>
          </w:tcPr>
          <w:p w14:paraId="4F4BC4B0">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“部门整体支出绩效评价项目”绩效评价得分</w:t>
            </w:r>
            <w:r>
              <w:rPr>
                <w:rFonts w:hint="eastAsia" w:ascii="仿宋" w:hAnsi="仿宋" w:eastAsia="仿宋" w:cs="宋体"/>
                <w:color w:val="000000"/>
                <w:kern w:val="0"/>
                <w:sz w:val="28"/>
                <w:szCs w:val="28"/>
                <w:lang w:val="en-US" w:eastAsia="zh-CN"/>
              </w:rPr>
              <w:t>80.97</w:t>
            </w:r>
            <w:r>
              <w:rPr>
                <w:rFonts w:hint="eastAsia" w:ascii="仿宋" w:hAnsi="仿宋" w:eastAsia="仿宋" w:cs="宋体"/>
                <w:color w:val="000000"/>
                <w:kern w:val="0"/>
                <w:sz w:val="28"/>
                <w:szCs w:val="28"/>
              </w:rPr>
              <w:t>分，其中：投入分，过程分，产出分，效果分，绩效评定结论为“中”。具体情况详见下表:</w:t>
            </w:r>
          </w:p>
        </w:tc>
      </w:tr>
      <w:tr w14:paraId="2561FE5A">
        <w:tblPrEx>
          <w:tblCellMar>
            <w:top w:w="0" w:type="dxa"/>
            <w:left w:w="108" w:type="dxa"/>
            <w:bottom w:w="0" w:type="dxa"/>
            <w:right w:w="108" w:type="dxa"/>
          </w:tblCellMar>
        </w:tblPrEx>
        <w:trPr>
          <w:trHeight w:val="574" w:hRule="atLeast"/>
        </w:trPr>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D2CE6">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评价内容</w:t>
            </w:r>
          </w:p>
        </w:tc>
        <w:tc>
          <w:tcPr>
            <w:tcW w:w="1827" w:type="dxa"/>
            <w:gridSpan w:val="2"/>
            <w:tcBorders>
              <w:top w:val="single" w:color="auto" w:sz="4" w:space="0"/>
              <w:left w:val="nil"/>
              <w:bottom w:val="single" w:color="auto" w:sz="4" w:space="0"/>
              <w:right w:val="nil"/>
            </w:tcBorders>
            <w:shd w:val="clear" w:color="auto" w:fill="auto"/>
            <w:noWrap/>
            <w:vAlign w:val="center"/>
          </w:tcPr>
          <w:p w14:paraId="4621A16F">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设定分值</w:t>
            </w:r>
          </w:p>
        </w:tc>
        <w:tc>
          <w:tcPr>
            <w:tcW w:w="3164" w:type="dxa"/>
            <w:tcBorders>
              <w:top w:val="single" w:color="auto" w:sz="4" w:space="0"/>
              <w:left w:val="nil"/>
              <w:bottom w:val="single" w:color="auto" w:sz="4" w:space="0"/>
              <w:right w:val="single" w:color="auto" w:sz="4" w:space="0"/>
            </w:tcBorders>
            <w:shd w:val="clear" w:color="auto" w:fill="auto"/>
            <w:noWrap/>
            <w:vAlign w:val="center"/>
          </w:tcPr>
          <w:p w14:paraId="1D46D6B8">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评价得分</w:t>
            </w:r>
          </w:p>
        </w:tc>
        <w:tc>
          <w:tcPr>
            <w:tcW w:w="2642" w:type="dxa"/>
            <w:tcBorders>
              <w:top w:val="single" w:color="auto" w:sz="4" w:space="0"/>
              <w:left w:val="nil"/>
              <w:bottom w:val="single" w:color="auto" w:sz="4" w:space="0"/>
              <w:right w:val="single" w:color="auto" w:sz="4" w:space="0"/>
            </w:tcBorders>
            <w:shd w:val="clear" w:color="auto" w:fill="auto"/>
            <w:noWrap/>
            <w:vAlign w:val="center"/>
          </w:tcPr>
          <w:p w14:paraId="04C48F0F">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得分率</w:t>
            </w:r>
          </w:p>
        </w:tc>
      </w:tr>
      <w:tr w14:paraId="7603DF7C">
        <w:tblPrEx>
          <w:tblCellMar>
            <w:top w:w="0" w:type="dxa"/>
            <w:left w:w="108" w:type="dxa"/>
            <w:bottom w:w="0" w:type="dxa"/>
            <w:right w:w="108" w:type="dxa"/>
          </w:tblCellMar>
        </w:tblPrEx>
        <w:trPr>
          <w:trHeight w:val="574" w:hRule="atLeast"/>
        </w:trPr>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583E4">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投入</w:t>
            </w:r>
          </w:p>
        </w:tc>
        <w:tc>
          <w:tcPr>
            <w:tcW w:w="1827" w:type="dxa"/>
            <w:gridSpan w:val="2"/>
            <w:tcBorders>
              <w:top w:val="single" w:color="auto" w:sz="4" w:space="0"/>
              <w:left w:val="nil"/>
              <w:bottom w:val="single" w:color="auto" w:sz="4" w:space="0"/>
              <w:right w:val="nil"/>
            </w:tcBorders>
            <w:shd w:val="clear" w:color="auto" w:fill="auto"/>
            <w:noWrap/>
            <w:vAlign w:val="center"/>
          </w:tcPr>
          <w:p w14:paraId="64146DB0">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eastAsia="等线"/>
                <w:color w:val="000000"/>
                <w:kern w:val="0"/>
                <w:sz w:val="28"/>
                <w:szCs w:val="28"/>
              </w:rPr>
            </w:pPr>
            <w:r>
              <w:rPr>
                <w:rFonts w:eastAsia="等线"/>
                <w:color w:val="000000"/>
                <w:kern w:val="0"/>
                <w:sz w:val="28"/>
                <w:szCs w:val="28"/>
              </w:rPr>
              <w:t>20</w:t>
            </w:r>
          </w:p>
        </w:tc>
        <w:tc>
          <w:tcPr>
            <w:tcW w:w="3164" w:type="dxa"/>
            <w:tcBorders>
              <w:top w:val="nil"/>
              <w:left w:val="nil"/>
              <w:bottom w:val="single" w:color="auto" w:sz="4" w:space="0"/>
              <w:right w:val="single" w:color="auto" w:sz="4" w:space="0"/>
            </w:tcBorders>
            <w:shd w:val="clear" w:color="auto" w:fill="auto"/>
            <w:noWrap/>
            <w:vAlign w:val="center"/>
          </w:tcPr>
          <w:p w14:paraId="32F0B09B">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eastAsia="等线"/>
                <w:color w:val="000000"/>
                <w:kern w:val="0"/>
                <w:sz w:val="28"/>
                <w:szCs w:val="28"/>
                <w:lang w:val="en-US" w:eastAsia="zh-CN"/>
              </w:rPr>
            </w:pPr>
            <w:r>
              <w:rPr>
                <w:rFonts w:eastAsia="等线"/>
                <w:color w:val="000000"/>
                <w:kern w:val="0"/>
                <w:sz w:val="28"/>
                <w:szCs w:val="28"/>
              </w:rPr>
              <w:t>1</w:t>
            </w:r>
            <w:r>
              <w:rPr>
                <w:rFonts w:hint="eastAsia" w:eastAsia="等线"/>
                <w:color w:val="000000"/>
                <w:kern w:val="0"/>
                <w:sz w:val="28"/>
                <w:szCs w:val="28"/>
                <w:lang w:val="en-US" w:eastAsia="zh-CN"/>
              </w:rPr>
              <w:t>4</w:t>
            </w:r>
          </w:p>
        </w:tc>
        <w:tc>
          <w:tcPr>
            <w:tcW w:w="2642" w:type="dxa"/>
            <w:tcBorders>
              <w:top w:val="nil"/>
              <w:left w:val="nil"/>
              <w:bottom w:val="single" w:color="auto" w:sz="4" w:space="0"/>
              <w:right w:val="single" w:color="auto" w:sz="4" w:space="0"/>
            </w:tcBorders>
            <w:shd w:val="clear" w:color="auto" w:fill="auto"/>
            <w:noWrap/>
            <w:vAlign w:val="center"/>
          </w:tcPr>
          <w:p w14:paraId="1F776891">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eastAsia="等线"/>
                <w:color w:val="000000"/>
                <w:kern w:val="0"/>
                <w:sz w:val="28"/>
                <w:szCs w:val="28"/>
              </w:rPr>
            </w:pPr>
            <w:r>
              <w:rPr>
                <w:rFonts w:hint="eastAsia" w:eastAsia="等线"/>
                <w:color w:val="000000"/>
                <w:kern w:val="0"/>
                <w:sz w:val="28"/>
                <w:szCs w:val="28"/>
                <w:lang w:val="en-US" w:eastAsia="zh-CN"/>
              </w:rPr>
              <w:t>7</w:t>
            </w:r>
            <w:r>
              <w:rPr>
                <w:rFonts w:eastAsia="等线"/>
                <w:color w:val="000000"/>
                <w:kern w:val="0"/>
                <w:sz w:val="28"/>
                <w:szCs w:val="28"/>
              </w:rPr>
              <w:t>0.00%</w:t>
            </w:r>
          </w:p>
        </w:tc>
      </w:tr>
      <w:tr w14:paraId="0D8600D6">
        <w:tblPrEx>
          <w:tblCellMar>
            <w:top w:w="0" w:type="dxa"/>
            <w:left w:w="108" w:type="dxa"/>
            <w:bottom w:w="0" w:type="dxa"/>
            <w:right w:w="108" w:type="dxa"/>
          </w:tblCellMar>
        </w:tblPrEx>
        <w:trPr>
          <w:trHeight w:val="574" w:hRule="atLeast"/>
        </w:trPr>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88E20">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过程</w:t>
            </w:r>
          </w:p>
        </w:tc>
        <w:tc>
          <w:tcPr>
            <w:tcW w:w="1827" w:type="dxa"/>
            <w:gridSpan w:val="2"/>
            <w:tcBorders>
              <w:top w:val="single" w:color="auto" w:sz="4" w:space="0"/>
              <w:left w:val="nil"/>
              <w:bottom w:val="single" w:color="auto" w:sz="4" w:space="0"/>
              <w:right w:val="nil"/>
            </w:tcBorders>
            <w:shd w:val="clear" w:color="auto" w:fill="auto"/>
            <w:noWrap/>
            <w:vAlign w:val="center"/>
          </w:tcPr>
          <w:p w14:paraId="0454CA05">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eastAsia="等线"/>
                <w:color w:val="000000"/>
                <w:kern w:val="0"/>
                <w:sz w:val="28"/>
                <w:szCs w:val="28"/>
              </w:rPr>
            </w:pPr>
            <w:r>
              <w:rPr>
                <w:rFonts w:eastAsia="等线"/>
                <w:color w:val="000000"/>
                <w:kern w:val="0"/>
                <w:sz w:val="28"/>
                <w:szCs w:val="28"/>
              </w:rPr>
              <w:t>40</w:t>
            </w:r>
          </w:p>
        </w:tc>
        <w:tc>
          <w:tcPr>
            <w:tcW w:w="3164" w:type="dxa"/>
            <w:tcBorders>
              <w:top w:val="nil"/>
              <w:left w:val="nil"/>
              <w:bottom w:val="single" w:color="auto" w:sz="4" w:space="0"/>
              <w:right w:val="single" w:color="auto" w:sz="4" w:space="0"/>
            </w:tcBorders>
            <w:shd w:val="clear" w:color="auto" w:fill="auto"/>
            <w:noWrap/>
            <w:vAlign w:val="center"/>
          </w:tcPr>
          <w:p w14:paraId="294D3A6D">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eastAsia="等线"/>
                <w:color w:val="000000"/>
                <w:kern w:val="0"/>
                <w:sz w:val="28"/>
                <w:szCs w:val="28"/>
                <w:lang w:val="en-US" w:eastAsia="zh-CN"/>
              </w:rPr>
            </w:pPr>
            <w:r>
              <w:rPr>
                <w:rFonts w:hint="eastAsia" w:eastAsia="等线"/>
                <w:color w:val="000000"/>
                <w:kern w:val="0"/>
                <w:sz w:val="28"/>
                <w:szCs w:val="28"/>
                <w:lang w:val="en-US" w:eastAsia="zh-CN"/>
              </w:rPr>
              <w:t>27.09</w:t>
            </w:r>
          </w:p>
        </w:tc>
        <w:tc>
          <w:tcPr>
            <w:tcW w:w="2642" w:type="dxa"/>
            <w:tcBorders>
              <w:top w:val="nil"/>
              <w:left w:val="nil"/>
              <w:bottom w:val="single" w:color="auto" w:sz="4" w:space="0"/>
              <w:right w:val="single" w:color="auto" w:sz="4" w:space="0"/>
            </w:tcBorders>
            <w:shd w:val="clear" w:color="auto" w:fill="auto"/>
            <w:noWrap/>
            <w:vAlign w:val="center"/>
          </w:tcPr>
          <w:p w14:paraId="01129502">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eastAsia="等线"/>
                <w:color w:val="000000"/>
                <w:kern w:val="0"/>
                <w:sz w:val="28"/>
                <w:szCs w:val="28"/>
              </w:rPr>
            </w:pPr>
            <w:r>
              <w:rPr>
                <w:rFonts w:hint="eastAsia" w:eastAsia="等线"/>
                <w:color w:val="000000"/>
                <w:kern w:val="0"/>
                <w:sz w:val="28"/>
                <w:szCs w:val="28"/>
                <w:lang w:val="en-US" w:eastAsia="zh-CN"/>
              </w:rPr>
              <w:t>67.73</w:t>
            </w:r>
            <w:r>
              <w:rPr>
                <w:rFonts w:eastAsia="等线"/>
                <w:color w:val="000000"/>
                <w:kern w:val="0"/>
                <w:sz w:val="28"/>
                <w:szCs w:val="28"/>
              </w:rPr>
              <w:t>%</w:t>
            </w:r>
          </w:p>
        </w:tc>
      </w:tr>
      <w:tr w14:paraId="6DD658E0">
        <w:tblPrEx>
          <w:tblCellMar>
            <w:top w:w="0" w:type="dxa"/>
            <w:left w:w="108" w:type="dxa"/>
            <w:bottom w:w="0" w:type="dxa"/>
            <w:right w:w="108" w:type="dxa"/>
          </w:tblCellMar>
        </w:tblPrEx>
        <w:trPr>
          <w:trHeight w:val="574" w:hRule="atLeast"/>
        </w:trPr>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5315D">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产出</w:t>
            </w:r>
          </w:p>
        </w:tc>
        <w:tc>
          <w:tcPr>
            <w:tcW w:w="1827" w:type="dxa"/>
            <w:gridSpan w:val="2"/>
            <w:tcBorders>
              <w:top w:val="single" w:color="auto" w:sz="4" w:space="0"/>
              <w:left w:val="nil"/>
              <w:bottom w:val="single" w:color="auto" w:sz="4" w:space="0"/>
              <w:right w:val="nil"/>
            </w:tcBorders>
            <w:shd w:val="clear" w:color="auto" w:fill="auto"/>
            <w:noWrap/>
            <w:vAlign w:val="center"/>
          </w:tcPr>
          <w:p w14:paraId="71F631E0">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eastAsia="等线"/>
                <w:color w:val="000000"/>
                <w:kern w:val="0"/>
                <w:sz w:val="28"/>
                <w:szCs w:val="28"/>
              </w:rPr>
            </w:pPr>
            <w:r>
              <w:rPr>
                <w:rFonts w:eastAsia="等线"/>
                <w:color w:val="000000"/>
                <w:kern w:val="0"/>
                <w:sz w:val="28"/>
                <w:szCs w:val="28"/>
              </w:rPr>
              <w:t>20</w:t>
            </w:r>
          </w:p>
        </w:tc>
        <w:tc>
          <w:tcPr>
            <w:tcW w:w="3164" w:type="dxa"/>
            <w:tcBorders>
              <w:top w:val="nil"/>
              <w:left w:val="nil"/>
              <w:bottom w:val="single" w:color="auto" w:sz="4" w:space="0"/>
              <w:right w:val="single" w:color="auto" w:sz="4" w:space="0"/>
            </w:tcBorders>
            <w:shd w:val="clear" w:color="auto" w:fill="auto"/>
            <w:noWrap/>
            <w:vAlign w:val="center"/>
          </w:tcPr>
          <w:p w14:paraId="3F9D2C01">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eastAsia="等线"/>
                <w:color w:val="000000"/>
                <w:kern w:val="0"/>
                <w:sz w:val="28"/>
                <w:szCs w:val="28"/>
              </w:rPr>
            </w:pPr>
            <w:r>
              <w:rPr>
                <w:rFonts w:eastAsia="等线"/>
                <w:color w:val="000000"/>
                <w:kern w:val="0"/>
                <w:sz w:val="28"/>
                <w:szCs w:val="28"/>
              </w:rPr>
              <w:t>20</w:t>
            </w:r>
          </w:p>
        </w:tc>
        <w:tc>
          <w:tcPr>
            <w:tcW w:w="2642" w:type="dxa"/>
            <w:tcBorders>
              <w:top w:val="nil"/>
              <w:left w:val="nil"/>
              <w:bottom w:val="single" w:color="auto" w:sz="4" w:space="0"/>
              <w:right w:val="single" w:color="auto" w:sz="4" w:space="0"/>
            </w:tcBorders>
            <w:shd w:val="clear" w:color="auto" w:fill="auto"/>
            <w:noWrap/>
            <w:vAlign w:val="center"/>
          </w:tcPr>
          <w:p w14:paraId="367D0E62">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eastAsia="等线"/>
                <w:color w:val="000000"/>
                <w:kern w:val="0"/>
                <w:sz w:val="28"/>
                <w:szCs w:val="28"/>
              </w:rPr>
            </w:pPr>
            <w:r>
              <w:rPr>
                <w:rFonts w:eastAsia="等线"/>
                <w:color w:val="000000"/>
                <w:kern w:val="0"/>
                <w:sz w:val="28"/>
                <w:szCs w:val="28"/>
              </w:rPr>
              <w:t>100.00%</w:t>
            </w:r>
          </w:p>
        </w:tc>
      </w:tr>
      <w:tr w14:paraId="0917E358">
        <w:tblPrEx>
          <w:tblCellMar>
            <w:top w:w="0" w:type="dxa"/>
            <w:left w:w="108" w:type="dxa"/>
            <w:bottom w:w="0" w:type="dxa"/>
            <w:right w:w="108" w:type="dxa"/>
          </w:tblCellMar>
        </w:tblPrEx>
        <w:trPr>
          <w:trHeight w:val="574" w:hRule="atLeast"/>
        </w:trPr>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6BF4C">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效果</w:t>
            </w:r>
          </w:p>
        </w:tc>
        <w:tc>
          <w:tcPr>
            <w:tcW w:w="1827" w:type="dxa"/>
            <w:gridSpan w:val="2"/>
            <w:tcBorders>
              <w:top w:val="single" w:color="auto" w:sz="4" w:space="0"/>
              <w:left w:val="nil"/>
              <w:bottom w:val="single" w:color="auto" w:sz="4" w:space="0"/>
              <w:right w:val="nil"/>
            </w:tcBorders>
            <w:shd w:val="clear" w:color="auto" w:fill="auto"/>
            <w:noWrap/>
            <w:vAlign w:val="center"/>
          </w:tcPr>
          <w:p w14:paraId="2DD7793C">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eastAsia="等线"/>
                <w:color w:val="000000"/>
                <w:kern w:val="0"/>
                <w:sz w:val="28"/>
                <w:szCs w:val="28"/>
              </w:rPr>
            </w:pPr>
            <w:r>
              <w:rPr>
                <w:rFonts w:eastAsia="等线"/>
                <w:color w:val="000000"/>
                <w:kern w:val="0"/>
                <w:sz w:val="28"/>
                <w:szCs w:val="28"/>
              </w:rPr>
              <w:t>20</w:t>
            </w:r>
          </w:p>
        </w:tc>
        <w:tc>
          <w:tcPr>
            <w:tcW w:w="3164" w:type="dxa"/>
            <w:tcBorders>
              <w:top w:val="nil"/>
              <w:left w:val="nil"/>
              <w:bottom w:val="single" w:color="auto" w:sz="4" w:space="0"/>
              <w:right w:val="single" w:color="auto" w:sz="4" w:space="0"/>
            </w:tcBorders>
            <w:shd w:val="clear" w:color="auto" w:fill="auto"/>
            <w:noWrap/>
            <w:vAlign w:val="center"/>
          </w:tcPr>
          <w:p w14:paraId="2A5A46A4">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eastAsia="等线"/>
                <w:color w:val="000000"/>
                <w:kern w:val="0"/>
                <w:sz w:val="28"/>
                <w:szCs w:val="28"/>
                <w:lang w:val="en-US" w:eastAsia="zh-CN"/>
              </w:rPr>
            </w:pPr>
            <w:r>
              <w:rPr>
                <w:rFonts w:eastAsia="等线"/>
                <w:color w:val="000000"/>
                <w:kern w:val="0"/>
                <w:sz w:val="28"/>
                <w:szCs w:val="28"/>
              </w:rPr>
              <w:t>19.</w:t>
            </w:r>
            <w:r>
              <w:rPr>
                <w:rFonts w:hint="eastAsia" w:eastAsia="等线"/>
                <w:color w:val="000000"/>
                <w:kern w:val="0"/>
                <w:sz w:val="28"/>
                <w:szCs w:val="28"/>
                <w:lang w:val="en-US" w:eastAsia="zh-CN"/>
              </w:rPr>
              <w:t>88</w:t>
            </w:r>
          </w:p>
        </w:tc>
        <w:tc>
          <w:tcPr>
            <w:tcW w:w="2642" w:type="dxa"/>
            <w:tcBorders>
              <w:top w:val="nil"/>
              <w:left w:val="nil"/>
              <w:bottom w:val="single" w:color="auto" w:sz="4" w:space="0"/>
              <w:right w:val="single" w:color="auto" w:sz="4" w:space="0"/>
            </w:tcBorders>
            <w:shd w:val="clear" w:color="auto" w:fill="auto"/>
            <w:noWrap/>
            <w:vAlign w:val="center"/>
          </w:tcPr>
          <w:p w14:paraId="50F9E33D">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eastAsia="等线"/>
                <w:color w:val="000000"/>
                <w:kern w:val="0"/>
                <w:sz w:val="28"/>
                <w:szCs w:val="28"/>
              </w:rPr>
            </w:pPr>
            <w:r>
              <w:rPr>
                <w:rFonts w:hint="eastAsia" w:eastAsia="等线"/>
                <w:color w:val="000000"/>
                <w:kern w:val="0"/>
                <w:sz w:val="28"/>
                <w:szCs w:val="28"/>
                <w:lang w:val="en-US" w:eastAsia="zh-CN"/>
              </w:rPr>
              <w:t>99.40</w:t>
            </w:r>
            <w:r>
              <w:rPr>
                <w:rFonts w:eastAsia="等线"/>
                <w:color w:val="000000"/>
                <w:kern w:val="0"/>
                <w:sz w:val="28"/>
                <w:szCs w:val="28"/>
              </w:rPr>
              <w:t>%</w:t>
            </w:r>
          </w:p>
        </w:tc>
      </w:tr>
      <w:tr w14:paraId="46A66050">
        <w:tblPrEx>
          <w:tblCellMar>
            <w:top w:w="0" w:type="dxa"/>
            <w:left w:w="108" w:type="dxa"/>
            <w:bottom w:w="0" w:type="dxa"/>
            <w:right w:w="108" w:type="dxa"/>
          </w:tblCellMar>
        </w:tblPrEx>
        <w:trPr>
          <w:trHeight w:val="574" w:hRule="atLeast"/>
        </w:trPr>
        <w:tc>
          <w:tcPr>
            <w:tcW w:w="30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F0F2E2">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综合得分</w:t>
            </w:r>
          </w:p>
        </w:tc>
        <w:tc>
          <w:tcPr>
            <w:tcW w:w="3819" w:type="dxa"/>
            <w:gridSpan w:val="2"/>
            <w:tcBorders>
              <w:top w:val="single" w:color="auto" w:sz="4" w:space="0"/>
              <w:left w:val="nil"/>
              <w:bottom w:val="single" w:color="auto" w:sz="4" w:space="0"/>
              <w:right w:val="single" w:color="auto" w:sz="4" w:space="0"/>
            </w:tcBorders>
            <w:shd w:val="clear" w:color="auto" w:fill="auto"/>
            <w:noWrap/>
            <w:vAlign w:val="center"/>
          </w:tcPr>
          <w:p w14:paraId="6F75B8B2">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eastAsia="等线"/>
                <w:color w:val="000000"/>
                <w:kern w:val="0"/>
                <w:sz w:val="28"/>
                <w:szCs w:val="28"/>
                <w:lang w:val="en-US" w:eastAsia="zh-CN"/>
              </w:rPr>
            </w:pPr>
            <w:r>
              <w:rPr>
                <w:rFonts w:hint="eastAsia" w:eastAsia="等线"/>
                <w:color w:val="000000"/>
                <w:kern w:val="0"/>
                <w:sz w:val="28"/>
                <w:szCs w:val="28"/>
                <w:lang w:val="en-US" w:eastAsia="zh-CN"/>
              </w:rPr>
              <w:t>80.97</w:t>
            </w:r>
          </w:p>
        </w:tc>
        <w:tc>
          <w:tcPr>
            <w:tcW w:w="2642" w:type="dxa"/>
            <w:tcBorders>
              <w:top w:val="nil"/>
              <w:left w:val="nil"/>
              <w:bottom w:val="single" w:color="auto" w:sz="4" w:space="0"/>
              <w:right w:val="single" w:color="auto" w:sz="4" w:space="0"/>
            </w:tcBorders>
            <w:shd w:val="clear" w:color="auto" w:fill="auto"/>
            <w:noWrap/>
            <w:vAlign w:val="center"/>
          </w:tcPr>
          <w:p w14:paraId="21E461EB">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eastAsia="等线"/>
                <w:color w:val="000000"/>
                <w:kern w:val="0"/>
                <w:sz w:val="28"/>
                <w:szCs w:val="28"/>
              </w:rPr>
            </w:pPr>
            <w:r>
              <w:rPr>
                <w:rFonts w:hint="eastAsia" w:eastAsia="等线"/>
                <w:color w:val="000000"/>
                <w:kern w:val="0"/>
                <w:sz w:val="28"/>
                <w:szCs w:val="28"/>
                <w:lang w:val="en-US" w:eastAsia="zh-CN"/>
              </w:rPr>
              <w:t>80.97</w:t>
            </w:r>
            <w:r>
              <w:rPr>
                <w:rFonts w:eastAsia="等线"/>
                <w:color w:val="000000"/>
                <w:kern w:val="0"/>
                <w:sz w:val="28"/>
                <w:szCs w:val="28"/>
              </w:rPr>
              <w:t>%</w:t>
            </w:r>
          </w:p>
        </w:tc>
      </w:tr>
      <w:tr w14:paraId="505D444E">
        <w:tblPrEx>
          <w:tblCellMar>
            <w:top w:w="0" w:type="dxa"/>
            <w:left w:w="108" w:type="dxa"/>
            <w:bottom w:w="0" w:type="dxa"/>
            <w:right w:w="108" w:type="dxa"/>
          </w:tblCellMar>
        </w:tblPrEx>
        <w:trPr>
          <w:trHeight w:val="574" w:hRule="atLeast"/>
        </w:trPr>
        <w:tc>
          <w:tcPr>
            <w:tcW w:w="30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080582">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绩效评定级别</w:t>
            </w:r>
          </w:p>
        </w:tc>
        <w:tc>
          <w:tcPr>
            <w:tcW w:w="6461" w:type="dxa"/>
            <w:gridSpan w:val="3"/>
            <w:tcBorders>
              <w:top w:val="single" w:color="auto" w:sz="4" w:space="0"/>
              <w:left w:val="nil"/>
              <w:bottom w:val="single" w:color="auto" w:sz="4" w:space="0"/>
              <w:right w:val="single" w:color="auto" w:sz="4" w:space="0"/>
            </w:tcBorders>
            <w:shd w:val="clear" w:color="auto" w:fill="auto"/>
            <w:noWrap/>
            <w:vAlign w:val="center"/>
          </w:tcPr>
          <w:p w14:paraId="5CA755D7">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良</w:t>
            </w:r>
          </w:p>
        </w:tc>
      </w:tr>
      <w:tr w14:paraId="43764D13">
        <w:tblPrEx>
          <w:tblCellMar>
            <w:top w:w="0" w:type="dxa"/>
            <w:left w:w="108" w:type="dxa"/>
            <w:bottom w:w="0" w:type="dxa"/>
            <w:right w:w="108" w:type="dxa"/>
          </w:tblCellMar>
        </w:tblPrEx>
        <w:trPr>
          <w:trHeight w:val="1810" w:hRule="atLeast"/>
        </w:trPr>
        <w:tc>
          <w:tcPr>
            <w:tcW w:w="9544" w:type="dxa"/>
            <w:gridSpan w:val="5"/>
            <w:tcBorders>
              <w:top w:val="single" w:color="auto" w:sz="4" w:space="0"/>
              <w:left w:val="nil"/>
              <w:bottom w:val="nil"/>
              <w:right w:val="nil"/>
            </w:tcBorders>
            <w:shd w:val="clear" w:color="auto" w:fill="auto"/>
            <w:noWrap w:val="0"/>
            <w:vAlign w:val="center"/>
          </w:tcPr>
          <w:p w14:paraId="782C30F9">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 w:hAnsi="仿宋" w:eastAsia="仿宋" w:cs="宋体"/>
                <w:color w:val="000000"/>
                <w:kern w:val="0"/>
                <w:sz w:val="24"/>
              </w:rPr>
            </w:pPr>
            <w:r>
              <w:rPr>
                <w:rFonts w:hint="eastAsia" w:ascii="仿宋" w:hAnsi="仿宋" w:eastAsia="仿宋" w:cs="宋体"/>
                <w:color w:val="000000"/>
                <w:kern w:val="0"/>
                <w:sz w:val="24"/>
              </w:rPr>
              <w:t>备注：根据西藏自治区财政厅 《西藏自治区财政支出预算绩效评价管理暂行办法》（藏财预字【2017】89号）第五十二条：“绩效评价结果采取综合评分与评级相结合的方式确定具体等级。总分值为100分，绩效评级分优、良、中、差。评价计分90分(含)～100分对价结果等级为优；80分(含)～90分对应的评价结果等级为良；60分(含)～80分对应的评价结果等级为中；60分以下对应的评价结果等级为差。</w:t>
            </w:r>
          </w:p>
        </w:tc>
      </w:tr>
    </w:tbl>
    <w:p w14:paraId="12A9E32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Cs/>
          <w:sz w:val="32"/>
          <w:szCs w:val="32"/>
          <w:lang w:val="en-US" w:eastAsia="zh-CN"/>
        </w:rPr>
      </w:pPr>
      <w:r>
        <w:rPr>
          <w:rFonts w:hint="eastAsia" w:ascii="楷体" w:hAnsi="楷体" w:eastAsia="楷体" w:cs="楷体"/>
          <w:bCs/>
          <w:sz w:val="32"/>
          <w:szCs w:val="32"/>
          <w:lang w:val="en-US" w:eastAsia="zh-CN"/>
        </w:rPr>
        <w:t xml:space="preserve">              </w:t>
      </w:r>
    </w:p>
    <w:p w14:paraId="03FE82E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6B41020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sz w:val="32"/>
          <w:szCs w:val="32"/>
        </w:rPr>
      </w:pPr>
      <w:bookmarkStart w:id="96" w:name="_Toc18325_WPSOffice_Level2"/>
      <w:bookmarkStart w:id="97" w:name="_Toc15565_WPSOffice_Level2"/>
      <w:bookmarkStart w:id="98" w:name="_Toc23598_WPSOffice_Level2"/>
      <w:bookmarkStart w:id="99" w:name="_Toc32639_WPSOffice_Level2"/>
      <w:bookmarkStart w:id="100" w:name="_Toc5978_WPSOffice_Level2"/>
      <w:bookmarkStart w:id="101" w:name="_Toc15262_WPSOffice_Level2"/>
      <w:r>
        <w:rPr>
          <w:rFonts w:hint="eastAsia" w:ascii="楷体" w:hAnsi="楷体" w:eastAsia="楷体" w:cs="楷体"/>
          <w:bCs/>
          <w:sz w:val="32"/>
          <w:szCs w:val="32"/>
        </w:rPr>
        <w:t>（一）机关运行经费支出情况。</w:t>
      </w:r>
      <w:bookmarkEnd w:id="96"/>
      <w:bookmarkEnd w:id="97"/>
      <w:bookmarkEnd w:id="98"/>
      <w:bookmarkEnd w:id="99"/>
      <w:bookmarkEnd w:id="100"/>
      <w:bookmarkEnd w:id="101"/>
    </w:p>
    <w:p w14:paraId="376FA41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ˎ̥" w:eastAsia="仿宋_GB2312"/>
          <w:color w:val="FF0000"/>
          <w:sz w:val="32"/>
          <w:szCs w:val="32"/>
          <w:lang w:val="en-US" w:eastAsia="zh-CN"/>
        </w:rPr>
        <w:t>统战部</w:t>
      </w:r>
      <w:r>
        <w:rPr>
          <w:rFonts w:hint="eastAsia" w:ascii="仿宋_GB2312" w:hAnsi="ˎ̥" w:eastAsia="仿宋_GB2312"/>
          <w:sz w:val="32"/>
          <w:szCs w:val="32"/>
        </w:rPr>
        <w:t>部门（单位）机关运行经费</w:t>
      </w:r>
      <w:r>
        <w:rPr>
          <w:rFonts w:hint="default" w:ascii="仿宋_GB2312" w:hAnsi="ˎ̥" w:eastAsia="仿宋_GB2312"/>
          <w:color w:val="FF0000"/>
          <w:sz w:val="32"/>
          <w:szCs w:val="32"/>
          <w:lang w:val="en-US"/>
        </w:rPr>
        <w:t>78.5</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万元（为部门决算中行政单位和参公事业单位财政拨款基本支出中公用经费支出之和，事业单位没有机关运行经费支出），比年初预算增加</w:t>
      </w:r>
      <w:r>
        <w:rPr>
          <w:rFonts w:hint="eastAsia" w:ascii="仿宋_GB2312" w:hAnsi="ˎ̥" w:eastAsia="仿宋_GB2312"/>
          <w:color w:val="FF0000"/>
          <w:sz w:val="32"/>
          <w:szCs w:val="32"/>
          <w:lang w:val="en-US" w:eastAsia="zh-CN"/>
        </w:rPr>
        <w:t>15.02</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19.13</w:t>
      </w:r>
      <w:r>
        <w:rPr>
          <w:rFonts w:hint="eastAsia" w:ascii="仿宋_GB2312" w:hAnsi="ˎ̥" w:eastAsia="仿宋_GB2312"/>
          <w:sz w:val="32"/>
          <w:szCs w:val="32"/>
        </w:rPr>
        <w:t>%。主要原因是：</w:t>
      </w:r>
      <w:r>
        <w:rPr>
          <w:rFonts w:hint="eastAsia" w:ascii="仿宋_GB2312" w:hAnsi="ˎ̥" w:eastAsia="仿宋_GB2312"/>
          <w:sz w:val="32"/>
          <w:szCs w:val="32"/>
          <w:lang w:bidi="ar"/>
        </w:rPr>
        <w:t>办公设施设备购置经费增加资产运行维护支出增加信息系统运行维护支出增加人员编制数量增加</w:t>
      </w:r>
      <w:r>
        <w:rPr>
          <w:rFonts w:hint="eastAsia" w:ascii="仿宋_GB2312" w:hAnsi="ˎ̥" w:eastAsia="仿宋_GB2312"/>
          <w:sz w:val="32"/>
          <w:szCs w:val="32"/>
        </w:rPr>
        <w:t>（具体增减原因由部门（单位）根据实际情况填列）。</w:t>
      </w:r>
    </w:p>
    <w:p w14:paraId="17791FB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机关运行经费预算数字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字可取自202</w:t>
      </w:r>
      <w:r>
        <w:rPr>
          <w:rFonts w:ascii="仿宋_GB2312" w:hAnsi="ˎ̥" w:eastAsia="仿宋_GB2312"/>
          <w:sz w:val="32"/>
          <w:szCs w:val="32"/>
        </w:rPr>
        <w:t>3</w:t>
      </w:r>
      <w:r>
        <w:rPr>
          <w:rFonts w:hint="eastAsia" w:ascii="仿宋_GB2312" w:hAnsi="ˎ̥" w:eastAsia="仿宋_GB2312"/>
          <w:sz w:val="32"/>
          <w:szCs w:val="32"/>
        </w:rPr>
        <w:t>年度部门决算报表F03表《机构运行信息表》“机关运行经费”栏。）</w:t>
      </w:r>
    </w:p>
    <w:p w14:paraId="7418F66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sz w:val="32"/>
          <w:szCs w:val="32"/>
        </w:rPr>
      </w:pPr>
      <w:bookmarkStart w:id="102" w:name="_Toc13084_WPSOffice_Level2"/>
      <w:bookmarkStart w:id="103" w:name="_Toc30383_WPSOffice_Level2"/>
      <w:bookmarkStart w:id="104" w:name="_Toc25333_WPSOffice_Level2"/>
      <w:bookmarkStart w:id="105" w:name="_Toc32689_WPSOffice_Level2"/>
      <w:bookmarkStart w:id="106" w:name="_Toc23966_WPSOffice_Level2"/>
      <w:bookmarkStart w:id="107" w:name="_Toc3131_WPSOffice_Level2"/>
      <w:r>
        <w:rPr>
          <w:rFonts w:hint="eastAsia" w:ascii="楷体" w:hAnsi="楷体" w:eastAsia="楷体" w:cs="楷体"/>
          <w:bCs/>
          <w:sz w:val="32"/>
          <w:szCs w:val="32"/>
        </w:rPr>
        <w:t>（二）政府采购支出情况。</w:t>
      </w:r>
      <w:bookmarkEnd w:id="102"/>
      <w:bookmarkEnd w:id="103"/>
      <w:bookmarkEnd w:id="104"/>
      <w:bookmarkEnd w:id="105"/>
      <w:bookmarkEnd w:id="106"/>
      <w:bookmarkEnd w:id="107"/>
    </w:p>
    <w:p w14:paraId="15990137">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ˎ̥" w:eastAsia="仿宋_GB2312"/>
          <w:color w:val="FF0000"/>
          <w:sz w:val="32"/>
          <w:szCs w:val="32"/>
          <w:lang w:eastAsia="zh-CN"/>
        </w:rPr>
        <w:t>统战部</w:t>
      </w:r>
      <w:r>
        <w:rPr>
          <w:rFonts w:hint="eastAsia" w:ascii="仿宋_GB2312" w:hAnsi="ˎ̥" w:eastAsia="仿宋_GB2312"/>
          <w:sz w:val="32"/>
          <w:szCs w:val="32"/>
        </w:rPr>
        <w:t>部门（单位）</w:t>
      </w:r>
      <w:r>
        <w:rPr>
          <w:rFonts w:hint="eastAsia" w:ascii="仿宋_GB2312" w:hAnsi="ˎ̥" w:eastAsia="仿宋_GB2312"/>
          <w:sz w:val="32"/>
          <w:szCs w:val="32"/>
          <w:lang w:eastAsia="zh-CN"/>
        </w:rPr>
        <w:t>无</w:t>
      </w:r>
      <w:r>
        <w:rPr>
          <w:rFonts w:hint="eastAsia" w:ascii="仿宋_GB2312" w:hAnsi="ˎ̥" w:eastAsia="仿宋_GB2312"/>
          <w:sz w:val="32"/>
          <w:szCs w:val="32"/>
        </w:rPr>
        <w:t>政府采购</w:t>
      </w:r>
      <w:r>
        <w:rPr>
          <w:rFonts w:hint="eastAsia" w:ascii="仿宋_GB2312" w:hAnsi="ˎ̥" w:eastAsia="仿宋_GB2312"/>
          <w:sz w:val="32"/>
          <w:szCs w:val="32"/>
          <w:lang w:eastAsia="zh-CN"/>
        </w:rPr>
        <w:t>。</w:t>
      </w:r>
    </w:p>
    <w:p w14:paraId="6A6C48B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上述政府采购支出相关数字取自202</w:t>
      </w:r>
      <w:r>
        <w:rPr>
          <w:rFonts w:ascii="仿宋_GB2312" w:hAnsi="ˎ̥" w:eastAsia="仿宋_GB2312"/>
          <w:sz w:val="32"/>
          <w:szCs w:val="32"/>
        </w:rPr>
        <w:t>3</w:t>
      </w:r>
      <w:r>
        <w:rPr>
          <w:rFonts w:hint="eastAsia" w:ascii="仿宋_GB2312" w:hAnsi="ˎ̥" w:eastAsia="仿宋_GB2312"/>
          <w:sz w:val="32"/>
          <w:szCs w:val="32"/>
        </w:rPr>
        <w:t>年度部门决算报表F03表《机构运行信息表》，授予中小企业和小微企业合同金额由各部门查阅本部门相关资料填写。）</w:t>
      </w:r>
    </w:p>
    <w:p w14:paraId="78A5F5A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sz w:val="32"/>
          <w:szCs w:val="32"/>
        </w:rPr>
      </w:pPr>
      <w:bookmarkStart w:id="108" w:name="_Toc6016_WPSOffice_Level2"/>
      <w:bookmarkStart w:id="109" w:name="_Toc29584_WPSOffice_Level2"/>
      <w:bookmarkStart w:id="110" w:name="_Toc10902_WPSOffice_Level2"/>
      <w:bookmarkStart w:id="111" w:name="_Toc527_WPSOffice_Level2"/>
      <w:bookmarkStart w:id="112" w:name="_Toc19989_WPSOffice_Level2"/>
      <w:bookmarkStart w:id="113" w:name="_Toc15129_WPSOffice_Level2"/>
      <w:r>
        <w:rPr>
          <w:rFonts w:hint="eastAsia" w:ascii="楷体" w:hAnsi="楷体" w:eastAsia="楷体" w:cs="楷体"/>
          <w:bCs/>
          <w:sz w:val="32"/>
          <w:szCs w:val="32"/>
        </w:rPr>
        <w:t>（三）国有资产占用情况。</w:t>
      </w:r>
      <w:bookmarkEnd w:id="108"/>
      <w:bookmarkEnd w:id="109"/>
      <w:bookmarkEnd w:id="110"/>
      <w:bookmarkEnd w:id="111"/>
      <w:bookmarkEnd w:id="112"/>
      <w:bookmarkEnd w:id="113"/>
    </w:p>
    <w:p w14:paraId="1762D18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截至202</w:t>
      </w:r>
      <w:r>
        <w:rPr>
          <w:rFonts w:ascii="仿宋_GB2312" w:hAnsi="ˎ̥" w:eastAsia="仿宋_GB2312"/>
          <w:bCs/>
          <w:sz w:val="32"/>
          <w:szCs w:val="32"/>
        </w:rPr>
        <w:t>3</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sz w:val="32"/>
          <w:szCs w:val="32"/>
          <w:lang w:val="en-US" w:eastAsia="zh-CN"/>
        </w:rPr>
        <w:t>550</w:t>
      </w:r>
      <w:r>
        <w:rPr>
          <w:rFonts w:hint="eastAsia" w:ascii="仿宋_GB2312" w:hAnsi="ˎ̥" w:eastAsia="仿宋_GB2312"/>
          <w:sz w:val="32"/>
          <w:szCs w:val="32"/>
        </w:rPr>
        <w:t>平方米，其中：办公用房</w:t>
      </w:r>
      <w:r>
        <w:rPr>
          <w:rFonts w:hint="eastAsia" w:ascii="仿宋_GB2312" w:hAnsi="ˎ̥" w:eastAsia="仿宋_GB2312"/>
          <w:sz w:val="32"/>
          <w:szCs w:val="32"/>
          <w:lang w:val="en-US" w:eastAsia="zh-CN"/>
        </w:rPr>
        <w:t>245</w:t>
      </w:r>
      <w:r>
        <w:rPr>
          <w:rFonts w:hint="eastAsia" w:ascii="仿宋_GB2312" w:hAnsi="ˎ̥" w:eastAsia="仿宋_GB2312"/>
          <w:sz w:val="32"/>
          <w:szCs w:val="32"/>
        </w:rPr>
        <w:t>平方米，业务用房</w:t>
      </w:r>
      <w:r>
        <w:rPr>
          <w:rFonts w:hint="eastAsia" w:ascii="仿宋_GB2312" w:hAnsi="ˎ̥" w:eastAsia="仿宋_GB2312"/>
          <w:sz w:val="32"/>
          <w:szCs w:val="32"/>
          <w:lang w:val="en-US" w:eastAsia="zh-CN"/>
        </w:rPr>
        <w:t>305</w:t>
      </w:r>
      <w:r>
        <w:rPr>
          <w:rFonts w:hint="eastAsia" w:ascii="仿宋_GB2312" w:hAnsi="ˎ̥" w:eastAsia="仿宋_GB2312"/>
          <w:sz w:val="32"/>
          <w:szCs w:val="32"/>
        </w:rPr>
        <w:t>平方米，其他（不含构筑物）</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平方米。</w:t>
      </w:r>
    </w:p>
    <w:p w14:paraId="47CBD76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辆，公务用车</w:t>
      </w:r>
      <w:r>
        <w:rPr>
          <w:rFonts w:hint="eastAsia" w:ascii="仿宋_GB2312" w:hAnsi="ˎ̥" w:eastAsia="仿宋_GB2312"/>
          <w:color w:val="FF0000"/>
          <w:sz w:val="32"/>
          <w:szCs w:val="32"/>
        </w:rPr>
        <w:t>2</w:t>
      </w:r>
      <w:r>
        <w:rPr>
          <w:rFonts w:hint="eastAsia" w:ascii="仿宋_GB2312" w:hAnsi="ˎ̥" w:eastAsia="仿宋_GB2312"/>
          <w:sz w:val="32"/>
          <w:szCs w:val="32"/>
        </w:rPr>
        <w:t>辆。</w:t>
      </w:r>
    </w:p>
    <w:p w14:paraId="5BDC9D2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上述国有资产占用情况相关数字取自202</w:t>
      </w:r>
      <w:r>
        <w:rPr>
          <w:rFonts w:ascii="仿宋_GB2312" w:hAnsi="ˎ̥" w:eastAsia="仿宋_GB2312"/>
          <w:sz w:val="32"/>
          <w:szCs w:val="32"/>
        </w:rPr>
        <w:t>3</w:t>
      </w:r>
      <w:r>
        <w:rPr>
          <w:rFonts w:hint="eastAsia" w:ascii="仿宋_GB2312" w:hAnsi="ˎ̥" w:eastAsia="仿宋_GB2312"/>
          <w:sz w:val="32"/>
          <w:szCs w:val="32"/>
        </w:rPr>
        <w:t>年度部门决算F01表《预算支出相关信息表》、F03表《机构运行信息表》。）</w:t>
      </w:r>
    </w:p>
    <w:p w14:paraId="6A7AD119">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bookmarkStart w:id="114" w:name="_Toc17580_WPSOffice_Level1"/>
      <w:bookmarkStart w:id="115" w:name="_Toc4398_WPSOffice_Level1"/>
      <w:bookmarkStart w:id="116" w:name="_Toc8808_WPSOffice_Level1"/>
      <w:bookmarkStart w:id="117" w:name="_Toc11039_WPSOffice_Level1"/>
      <w:bookmarkStart w:id="118" w:name="_Toc15425_WPSOffice_Level1"/>
      <w:bookmarkStart w:id="119" w:name="_Toc8874_WPSOffice_Level1"/>
    </w:p>
    <w:p w14:paraId="342B6661">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4"/>
      <w:bookmarkEnd w:id="115"/>
      <w:bookmarkEnd w:id="116"/>
      <w:bookmarkEnd w:id="117"/>
      <w:bookmarkEnd w:id="118"/>
      <w:bookmarkEnd w:id="119"/>
    </w:p>
    <w:p w14:paraId="58BAD9A5">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75E440FF">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eastAsia="zh-CN"/>
        </w:rPr>
        <w:t>一、</w:t>
      </w:r>
      <w:r>
        <w:rPr>
          <w:rFonts w:hint="eastAsia" w:ascii="仿宋_GB2312" w:hAnsi="ˎ̥" w:eastAsia="仿宋_GB2312"/>
          <w:sz w:val="32"/>
          <w:szCs w:val="32"/>
        </w:rPr>
        <w:t>财政拨款收入：指同级政府财政部门当年拨付的各类财政拨款。</w:t>
      </w:r>
    </w:p>
    <w:p w14:paraId="59D9BEA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178B2EB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39E2BBC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E30C37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51B07DB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61B2D43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75472B0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30185A5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2CA25BE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4F0150A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42FB2BF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06463CB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7441B4A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39E3708F">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224F8443">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仿宋_GB2312" w:hAnsi="ˎ̥" w:eastAsia="仿宋_GB2312"/>
          <w:sz w:val="32"/>
          <w:szCs w:val="32"/>
          <w:lang w:eastAsia="zh-CN"/>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支出功能分类的名词解释，各部门（单位）根据实际支出情况填列，可参阅财政部印发的《202</w:t>
      </w:r>
      <w:r>
        <w:rPr>
          <w:rFonts w:ascii="仿宋_GB2312" w:hAnsi="ˎ̥" w:eastAsia="仿宋_GB2312"/>
          <w:sz w:val="32"/>
          <w:szCs w:val="32"/>
        </w:rPr>
        <w:t>3</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p>
    <w:p w14:paraId="003ECBE4">
      <w:pPr>
        <w:keepNext w:val="0"/>
        <w:keepLines w:val="0"/>
        <w:pageBreakBefore w:val="0"/>
        <w:kinsoku/>
        <w:wordWrap/>
        <w:overflowPunct/>
        <w:topLinePunct w:val="0"/>
        <w:autoSpaceDE/>
        <w:autoSpaceDN/>
        <w:bidi w:val="0"/>
        <w:adjustRightInd/>
        <w:snapToGrid/>
        <w:spacing w:line="576" w:lineRule="exact"/>
        <w:textAlignment w:val="auto"/>
      </w:pPr>
    </w:p>
    <w:sectPr>
      <w:footerReference r:id="rId3" w:type="default"/>
      <w:footerReference r:id="rId4" w:type="even"/>
      <w:pgSz w:w="11906" w:h="16838"/>
      <w:pgMar w:top="2098" w:right="1474" w:bottom="17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C785">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6790C69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3446">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538D29A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9F5AF"/>
    <w:multiLevelType w:val="singleLevel"/>
    <w:tmpl w:val="9F99F5AF"/>
    <w:lvl w:ilvl="0" w:tentative="0">
      <w:start w:val="1"/>
      <w:numFmt w:val="chineseCounting"/>
      <w:suff w:val="nothing"/>
      <w:lvlText w:val="%1、"/>
      <w:lvlJc w:val="left"/>
      <w:rPr>
        <w:rFonts w:hint="eastAsia"/>
      </w:rPr>
    </w:lvl>
  </w:abstractNum>
  <w:abstractNum w:abstractNumId="1">
    <w:nsid w:val="42A40026"/>
    <w:multiLevelType w:val="singleLevel"/>
    <w:tmpl w:val="42A4002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231D4EAF"/>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50D3249"/>
    <w:rsid w:val="065445EB"/>
    <w:rsid w:val="07D9025D"/>
    <w:rsid w:val="09381E6D"/>
    <w:rsid w:val="0FC80124"/>
    <w:rsid w:val="12F33CCF"/>
    <w:rsid w:val="136F98C7"/>
    <w:rsid w:val="13A6617A"/>
    <w:rsid w:val="17427E68"/>
    <w:rsid w:val="1B0F3F2C"/>
    <w:rsid w:val="1CA52F2E"/>
    <w:rsid w:val="1CBE3679"/>
    <w:rsid w:val="1D4806BC"/>
    <w:rsid w:val="1E3630B9"/>
    <w:rsid w:val="1F482A98"/>
    <w:rsid w:val="20EA1DAD"/>
    <w:rsid w:val="227C3298"/>
    <w:rsid w:val="231D4EAF"/>
    <w:rsid w:val="23843098"/>
    <w:rsid w:val="26EEC2B5"/>
    <w:rsid w:val="27392E24"/>
    <w:rsid w:val="278B1A04"/>
    <w:rsid w:val="2AC170BF"/>
    <w:rsid w:val="2B1D4A16"/>
    <w:rsid w:val="30396904"/>
    <w:rsid w:val="34E31732"/>
    <w:rsid w:val="36EB61D5"/>
    <w:rsid w:val="37FDA7E2"/>
    <w:rsid w:val="390549A3"/>
    <w:rsid w:val="3A815E2E"/>
    <w:rsid w:val="3FE61EE5"/>
    <w:rsid w:val="47615E3A"/>
    <w:rsid w:val="497515A7"/>
    <w:rsid w:val="4C6877E5"/>
    <w:rsid w:val="4E154E68"/>
    <w:rsid w:val="4EA86137"/>
    <w:rsid w:val="4EDC6B9F"/>
    <w:rsid w:val="51197FD6"/>
    <w:rsid w:val="550022C8"/>
    <w:rsid w:val="56CA7FD0"/>
    <w:rsid w:val="598B01AF"/>
    <w:rsid w:val="59BB58E8"/>
    <w:rsid w:val="5ABB3F3D"/>
    <w:rsid w:val="5F7D3333"/>
    <w:rsid w:val="60E939DE"/>
    <w:rsid w:val="61385890"/>
    <w:rsid w:val="65B17A4E"/>
    <w:rsid w:val="65D519F5"/>
    <w:rsid w:val="676A25AA"/>
    <w:rsid w:val="6BAE6F0A"/>
    <w:rsid w:val="6D49428B"/>
    <w:rsid w:val="6F670F9B"/>
    <w:rsid w:val="756C7CEA"/>
    <w:rsid w:val="75956FFF"/>
    <w:rsid w:val="774136C3"/>
    <w:rsid w:val="7C8B069F"/>
    <w:rsid w:val="7DB0448C"/>
    <w:rsid w:val="7DBC1EB9"/>
    <w:rsid w:val="7E5F9AA4"/>
    <w:rsid w:val="7EC966F9"/>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qFormat/>
    <w:uiPriority w:val="0"/>
    <w:rPr>
      <w:kern w:val="2"/>
      <w:sz w:val="21"/>
      <w:szCs w:val="24"/>
    </w:rPr>
  </w:style>
  <w:style w:type="character" w:customStyle="1" w:styleId="12">
    <w:name w:val="批注框文本 Char"/>
    <w:qFormat/>
    <w:uiPriority w:val="0"/>
    <w:rPr>
      <w:kern w:val="2"/>
      <w:sz w:val="18"/>
      <w:szCs w:val="18"/>
    </w:rPr>
  </w:style>
  <w:style w:type="character" w:customStyle="1" w:styleId="13">
    <w:name w:val="页眉 Char"/>
    <w:qFormat/>
    <w:uiPriority w:val="0"/>
    <w:rPr>
      <w:kern w:val="2"/>
      <w:sz w:val="18"/>
      <w:szCs w:val="18"/>
    </w:rPr>
  </w:style>
  <w:style w:type="character" w:customStyle="1" w:styleId="14">
    <w:name w:val="批注主题 Char"/>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0001-&#22696;&#33073;&#21439;&#32479;&#25112;&#37096;_&#35199;&#34255;&#20915;&#31639;&#20844;&#24320;&#27169;&#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190001-墨脱县统战部_西藏决算公开模版.dot</Template>
  <Pages>18</Pages>
  <Words>7444</Words>
  <Characters>8068</Characters>
  <Lines>67</Lines>
  <Paragraphs>18</Paragraphs>
  <TotalTime>43</TotalTime>
  <ScaleCrop>false</ScaleCrop>
  <LinksUpToDate>false</LinksUpToDate>
  <CharactersWithSpaces>8148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2024-11-22T02:31:00Z</dcterms:created>
  <dc:creator>墨脱县统战部</dc:creator>
  <cp:lastModifiedBy>Administrator</cp:lastModifiedBy>
  <cp:lastPrinted>2024-11-26T10:39:00Z</cp:lastPrinted>
  <dcterms:modified xsi:type="dcterms:W3CDTF">2024-11-29T09:22:24Z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E4AB36CF1149453199671A3E099C96F6</vt:lpwstr>
  </property>
</Properties>
</file>