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3A4D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center"/>
        <w:rPr>
          <w:rFonts w:hint="eastAsia" w:ascii="方正小标宋简体" w:hAnsi="方正小标宋简体" w:eastAsia="方正小标宋简体" w:cs="方正小标宋简体"/>
          <w:b/>
          <w:bCs/>
          <w:i w:val="0"/>
          <w:iCs w:val="0"/>
          <w:caps w:val="0"/>
          <w:color w:val="auto"/>
          <w:spacing w:val="0"/>
          <w:sz w:val="40"/>
          <w:szCs w:val="40"/>
          <w:shd w:val="clear" w:fill="FFFFFF"/>
        </w:rPr>
      </w:pPr>
    </w:p>
    <w:p w14:paraId="6BA5F00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center"/>
        <w:rPr>
          <w:rFonts w:hint="eastAsia" w:ascii="方正小标宋简体" w:hAnsi="方正小标宋简体" w:eastAsia="方正小标宋简体" w:cs="方正小标宋简体"/>
          <w:b/>
          <w:bCs/>
          <w:i w:val="0"/>
          <w:iCs w:val="0"/>
          <w:caps w:val="0"/>
          <w:color w:val="auto"/>
          <w:spacing w:val="0"/>
          <w:sz w:val="40"/>
          <w:szCs w:val="40"/>
          <w:shd w:val="clear" w:fill="FFFFFF"/>
        </w:rPr>
      </w:pPr>
    </w:p>
    <w:p w14:paraId="2C5170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both"/>
        <w:rPr>
          <w:rFonts w:hint="eastAsia" w:ascii="方正小标宋简体" w:hAnsi="方正小标宋简体" w:eastAsia="方正小标宋简体" w:cs="方正小标宋简体"/>
          <w:b/>
          <w:bCs/>
          <w:i w:val="0"/>
          <w:iCs w:val="0"/>
          <w:caps w:val="0"/>
          <w:color w:val="auto"/>
          <w:spacing w:val="0"/>
          <w:sz w:val="40"/>
          <w:szCs w:val="40"/>
          <w:shd w:val="clear" w:fill="FFFFFF"/>
        </w:rPr>
      </w:pPr>
    </w:p>
    <w:p w14:paraId="13CF1D6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both"/>
        <w:rPr>
          <w:rFonts w:hint="eastAsia" w:ascii="方正小标宋简体" w:hAnsi="方正小标宋简体" w:eastAsia="方正小标宋简体" w:cs="方正小标宋简体"/>
          <w:b/>
          <w:bCs/>
          <w:i w:val="0"/>
          <w:iCs w:val="0"/>
          <w:caps w:val="0"/>
          <w:color w:val="auto"/>
          <w:spacing w:val="0"/>
          <w:sz w:val="40"/>
          <w:szCs w:val="40"/>
          <w:shd w:val="clear" w:fill="FFFFFF"/>
        </w:rPr>
      </w:pPr>
    </w:p>
    <w:p w14:paraId="5656D16A">
      <w:pPr>
        <w:spacing w:before="309" w:line="176" w:lineRule="auto"/>
        <w:jc w:val="center"/>
        <w:outlineLvl w:val="0"/>
        <w:rPr>
          <w:rFonts w:hint="eastAsia" w:ascii="隶书" w:hAnsi="隶书" w:eastAsia="隶书" w:cs="隶书"/>
          <w:color w:val="000080"/>
          <w:spacing w:val="6"/>
          <w:sz w:val="95"/>
          <w:szCs w:val="95"/>
          <w:lang w:val="en-US" w:eastAsia="zh-CN"/>
        </w:rPr>
      </w:pPr>
    </w:p>
    <w:p w14:paraId="0ADE2E2F">
      <w:pPr>
        <w:spacing w:before="309" w:line="176" w:lineRule="auto"/>
        <w:jc w:val="center"/>
        <w:outlineLvl w:val="0"/>
        <w:rPr>
          <w:rFonts w:hint="eastAsia" w:ascii="隶书" w:hAnsi="隶书" w:eastAsia="隶书" w:cs="隶书"/>
          <w:color w:val="000080"/>
          <w:spacing w:val="6"/>
          <w:sz w:val="95"/>
          <w:szCs w:val="95"/>
          <w:lang w:val="en-US" w:eastAsia="zh-CN"/>
        </w:rPr>
      </w:pPr>
      <w:r>
        <w:rPr>
          <w:rFonts w:hint="eastAsia" w:ascii="隶书" w:hAnsi="隶书" w:eastAsia="隶书" w:cs="隶书"/>
          <w:color w:val="000080"/>
          <w:spacing w:val="6"/>
          <w:sz w:val="95"/>
          <w:szCs w:val="95"/>
          <w:lang w:val="en-US" w:eastAsia="zh-CN"/>
        </w:rPr>
        <w:t>2023年度</w:t>
      </w:r>
    </w:p>
    <w:p w14:paraId="09698451">
      <w:pPr>
        <w:spacing w:before="309" w:line="176" w:lineRule="auto"/>
        <w:jc w:val="center"/>
        <w:outlineLvl w:val="0"/>
        <w:rPr>
          <w:rFonts w:hint="eastAsia" w:ascii="隶书" w:hAnsi="隶书" w:eastAsia="隶书" w:cs="隶书"/>
          <w:color w:val="000080"/>
          <w:spacing w:val="6"/>
          <w:sz w:val="95"/>
          <w:szCs w:val="95"/>
          <w:lang w:val="en-US" w:eastAsia="zh-CN"/>
        </w:rPr>
      </w:pPr>
      <w:r>
        <w:rPr>
          <w:rFonts w:hint="eastAsia" w:ascii="隶书" w:hAnsi="隶书" w:eastAsia="隶书" w:cs="隶书"/>
          <w:color w:val="000080"/>
          <w:spacing w:val="6"/>
          <w:sz w:val="95"/>
          <w:szCs w:val="95"/>
          <w:lang w:val="en-US" w:eastAsia="zh-CN"/>
        </w:rPr>
        <w:t>墨脱县司法局</w:t>
      </w:r>
    </w:p>
    <w:p w14:paraId="5FE796C4">
      <w:pPr>
        <w:spacing w:before="309" w:line="176" w:lineRule="auto"/>
        <w:jc w:val="center"/>
        <w:outlineLvl w:val="0"/>
        <w:rPr>
          <w:rFonts w:hint="eastAsia" w:ascii="隶书" w:hAnsi="隶书" w:eastAsia="隶书" w:cs="隶书"/>
          <w:sz w:val="95"/>
          <w:szCs w:val="95"/>
          <w:lang w:val="en-US" w:eastAsia="zh-CN"/>
        </w:rPr>
      </w:pPr>
      <w:r>
        <w:rPr>
          <w:rFonts w:ascii="隶书" w:hAnsi="隶书" w:eastAsia="隶书" w:cs="隶书"/>
          <w:color w:val="000080"/>
          <w:spacing w:val="6"/>
          <w:sz w:val="95"/>
          <w:szCs w:val="95"/>
        </w:rPr>
        <w:t>部门决算</w:t>
      </w:r>
      <w:r>
        <w:rPr>
          <w:rFonts w:hint="eastAsia" w:ascii="隶书" w:hAnsi="隶书" w:eastAsia="隶书" w:cs="隶书"/>
          <w:color w:val="000080"/>
          <w:spacing w:val="6"/>
          <w:sz w:val="95"/>
          <w:szCs w:val="95"/>
          <w:lang w:val="en-US" w:eastAsia="zh-CN"/>
        </w:rPr>
        <w:t>分析报告</w:t>
      </w:r>
    </w:p>
    <w:p w14:paraId="4B48ABC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center"/>
        <w:rPr>
          <w:rFonts w:ascii="黑体" w:hAnsi="宋体" w:eastAsia="黑体" w:cs="黑体"/>
          <w:i w:val="0"/>
          <w:iCs w:val="0"/>
          <w:caps w:val="0"/>
          <w:color w:val="auto"/>
          <w:spacing w:val="0"/>
          <w:sz w:val="32"/>
          <w:szCs w:val="32"/>
          <w:shd w:val="clear" w:fill="FFFFFF"/>
        </w:rPr>
      </w:pPr>
    </w:p>
    <w:p w14:paraId="2DA78C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center"/>
        <w:rPr>
          <w:rFonts w:ascii="黑体" w:hAnsi="宋体" w:eastAsia="黑体" w:cs="黑体"/>
          <w:i w:val="0"/>
          <w:iCs w:val="0"/>
          <w:caps w:val="0"/>
          <w:color w:val="auto"/>
          <w:spacing w:val="0"/>
          <w:sz w:val="32"/>
          <w:szCs w:val="32"/>
          <w:shd w:val="clear" w:fill="FFFFFF"/>
        </w:rPr>
      </w:pPr>
    </w:p>
    <w:p w14:paraId="2223B6D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center"/>
        <w:rPr>
          <w:rFonts w:ascii="黑体" w:hAnsi="宋体" w:eastAsia="黑体" w:cs="黑体"/>
          <w:i w:val="0"/>
          <w:iCs w:val="0"/>
          <w:caps w:val="0"/>
          <w:color w:val="auto"/>
          <w:spacing w:val="0"/>
          <w:sz w:val="32"/>
          <w:szCs w:val="32"/>
          <w:shd w:val="clear" w:fill="FFFFFF"/>
        </w:rPr>
      </w:pPr>
    </w:p>
    <w:p w14:paraId="74E67A5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center"/>
        <w:rPr>
          <w:rFonts w:ascii="黑体" w:hAnsi="宋体" w:eastAsia="黑体" w:cs="黑体"/>
          <w:i w:val="0"/>
          <w:iCs w:val="0"/>
          <w:caps w:val="0"/>
          <w:color w:val="auto"/>
          <w:spacing w:val="0"/>
          <w:sz w:val="32"/>
          <w:szCs w:val="32"/>
          <w:shd w:val="clear" w:fill="FFFFFF"/>
        </w:rPr>
      </w:pPr>
    </w:p>
    <w:p w14:paraId="018EDEB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center"/>
        <w:rPr>
          <w:rFonts w:ascii="黑体" w:hAnsi="宋体" w:eastAsia="黑体" w:cs="黑体"/>
          <w:i w:val="0"/>
          <w:iCs w:val="0"/>
          <w:caps w:val="0"/>
          <w:color w:val="auto"/>
          <w:spacing w:val="0"/>
          <w:sz w:val="32"/>
          <w:szCs w:val="32"/>
          <w:shd w:val="clear" w:fill="FFFFFF"/>
        </w:rPr>
      </w:pPr>
    </w:p>
    <w:p w14:paraId="716ACE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center"/>
        <w:rPr>
          <w:rFonts w:ascii="黑体" w:hAnsi="宋体" w:eastAsia="黑体" w:cs="黑体"/>
          <w:i w:val="0"/>
          <w:iCs w:val="0"/>
          <w:caps w:val="0"/>
          <w:color w:val="auto"/>
          <w:spacing w:val="0"/>
          <w:sz w:val="32"/>
          <w:szCs w:val="32"/>
          <w:shd w:val="clear" w:fill="FFFFFF"/>
        </w:rPr>
      </w:pPr>
    </w:p>
    <w:p w14:paraId="69F5FF7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center"/>
        <w:rPr>
          <w:rFonts w:ascii="黑体" w:hAnsi="宋体" w:eastAsia="黑体" w:cs="黑体"/>
          <w:i w:val="0"/>
          <w:iCs w:val="0"/>
          <w:caps w:val="0"/>
          <w:color w:val="auto"/>
          <w:spacing w:val="0"/>
          <w:sz w:val="32"/>
          <w:szCs w:val="32"/>
          <w:shd w:val="clear" w:fill="FFFFFF"/>
        </w:rPr>
      </w:pPr>
    </w:p>
    <w:p w14:paraId="00FB70D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center"/>
        <w:rPr>
          <w:rFonts w:ascii="黑体" w:hAnsi="宋体" w:eastAsia="黑体" w:cs="黑体"/>
          <w:i w:val="0"/>
          <w:iCs w:val="0"/>
          <w:caps w:val="0"/>
          <w:color w:val="auto"/>
          <w:spacing w:val="0"/>
          <w:sz w:val="32"/>
          <w:szCs w:val="32"/>
          <w:shd w:val="clear" w:fill="FFFFFF"/>
        </w:rPr>
      </w:pPr>
    </w:p>
    <w:p w14:paraId="6BC9C15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center"/>
        <w:rPr>
          <w:rFonts w:ascii="黑体" w:hAnsi="宋体" w:eastAsia="黑体" w:cs="黑体"/>
          <w:i w:val="0"/>
          <w:iCs w:val="0"/>
          <w:caps w:val="0"/>
          <w:color w:val="auto"/>
          <w:spacing w:val="0"/>
          <w:sz w:val="32"/>
          <w:szCs w:val="32"/>
          <w:shd w:val="clear" w:fill="FFFFFF"/>
        </w:rPr>
      </w:pPr>
    </w:p>
    <w:p w14:paraId="495A4E3D">
      <w:pPr>
        <w:spacing w:before="169" w:line="222" w:lineRule="auto"/>
        <w:rPr>
          <w:rFonts w:ascii="黑体" w:hAnsi="黑体" w:eastAsia="黑体" w:cs="黑体"/>
          <w:spacing w:val="-43"/>
          <w:sz w:val="52"/>
          <w:szCs w:val="52"/>
        </w:rPr>
        <w:sectPr>
          <w:footerReference r:id="rId3" w:type="default"/>
          <w:pgSz w:w="11906" w:h="16839"/>
          <w:pgMar w:top="1431" w:right="1601" w:bottom="1264" w:left="1785" w:header="0" w:footer="1059" w:gutter="0"/>
          <w:pgNumType w:fmt="numberInDash" w:start="1"/>
          <w:cols w:space="720" w:num="1"/>
        </w:sectPr>
      </w:pPr>
    </w:p>
    <w:p w14:paraId="0DF83CF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一、单位情况</w:t>
      </w:r>
    </w:p>
    <w:p w14:paraId="6A4BEC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lang w:val="en-US" w:eastAsia="zh-CN"/>
        </w:rPr>
      </w:pPr>
      <w:r>
        <w:rPr>
          <w:rFonts w:hint="eastAsia" w:ascii="楷体" w:hAnsi="楷体" w:eastAsia="楷体"/>
          <w:sz w:val="32"/>
          <w:szCs w:val="32"/>
        </w:rPr>
        <w:t>（一）</w:t>
      </w:r>
      <w:r>
        <w:rPr>
          <w:rFonts w:hint="eastAsia" w:ascii="楷体" w:hAnsi="楷体" w:eastAsia="楷体"/>
          <w:sz w:val="32"/>
          <w:szCs w:val="32"/>
          <w:lang w:val="en-US" w:eastAsia="zh-CN"/>
        </w:rPr>
        <w:t>基本情况</w:t>
      </w:r>
    </w:p>
    <w:p w14:paraId="7FB3D54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部门职责</w:t>
      </w:r>
    </w:p>
    <w:p w14:paraId="527896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（1）贯彻执行国家、自治区和林芝市关于司法行政和法律援助工作的方针政策和法律法规；拟订县司法行政工作的发展规划和具体措施并组织实施。</w:t>
      </w:r>
    </w:p>
    <w:p w14:paraId="46DCDA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（2）承担协调有关方面提出全面依法治县中长期发展规划建议，负责有关重大决策部署督察工作。</w:t>
      </w:r>
    </w:p>
    <w:p w14:paraId="2BB870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（3）承担统筹规范性文件拟定审查工作责任。协调有关方面提出规范性文件法律适用性的建议，加强组织协调和督促指导，研究提出具有法律适用性的意见、措施。</w:t>
      </w:r>
    </w:p>
    <w:p w14:paraId="7C01B9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承担统筹推进法治政府建设的责任。指导、监督各乡（镇）、各部门依法行政工作；负责综合协调行政执法，承担推进行政执法体制改革有关工作，推进严格规范公正文明执法；承办申请县政府裁决的行政复议案件工作；指导、监督全县行政复议和行政应诉工作，负责行政复议和应诉案件办理工作。</w:t>
      </w:r>
    </w:p>
    <w:p w14:paraId="35DBDA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承担统筹规划全县法治社会建设的责任。负责拟订全县法治宣传教育规划并组织实施，督导检查全县普法宣传工作，推动人民参与和促进全县法治建设；指导依法治理和法治创建工作；指导人民调解工作和人民陪审员、人民监督员选任管理工作，指导安置帮教工作，推进司法所建设。</w:t>
      </w:r>
    </w:p>
    <w:p w14:paraId="36056A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负责拟订全县公共法律服务体系建设规划并指导实施，统筹和布局城乡、区域法律服务资源；指导和监督律师、法律援助、司法鉴定、公证、仲裁和基层等法律服务管理工作；承担全县公共法律服务方面相关资料的藏文翻译工作。</w:t>
      </w:r>
    </w:p>
    <w:p w14:paraId="557742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（7）协助开展国家统一法律职业资格考试林芝片区的组织实施工作；配合做好国家统一法律职业资格审核、资格证书管理和法律职业人员入职前培训工作。</w:t>
      </w:r>
    </w:p>
    <w:p w14:paraId="237C86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（8）指导、监督社区矫正工作法律、法规和政策的贯彻执行；拟订全县社区矫正工作规划并负责实施。</w:t>
      </w:r>
    </w:p>
    <w:p w14:paraId="63F754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（9）负责全县司法行政系统警车、信息化建设等管理工作；指导、监督全县司法行政系统财务、装备、设施、场所、信息科技等保障工作。</w:t>
      </w:r>
    </w:p>
    <w:p w14:paraId="0C2DDA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（10）规划、协调、指导全县法治人才队伍建设相关工作，指导、监督全县司法行政系统干部队伍建设；负责司法局机关、下属单位警务管理和综合督察工作。</w:t>
      </w:r>
    </w:p>
    <w:p w14:paraId="252221E4">
      <w:pPr>
        <w:spacing w:line="560" w:lineRule="exact"/>
        <w:ind w:firstLine="640" w:firstLineChars="200"/>
        <w:rPr>
          <w:rFonts w:hint="eastAsia" w:ascii="仿宋_GB2312" w:eastAsia="仿宋_GB2312"/>
          <w:b/>
          <w:bCs/>
          <w:sz w:val="32"/>
          <w:szCs w:val="32"/>
        </w:rPr>
      </w:pPr>
      <w:r>
        <w:rPr>
          <w:rFonts w:hint="eastAsia" w:ascii="仿宋_GB2312" w:hAnsi="仿宋_GB2312" w:eastAsia="仿宋_GB2312" w:cs="仿宋_GB2312"/>
          <w:b w:val="0"/>
          <w:bCs w:val="0"/>
          <w:color w:val="auto"/>
          <w:sz w:val="32"/>
          <w:szCs w:val="32"/>
          <w:lang w:val="en-US" w:eastAsia="zh-CN"/>
        </w:rPr>
        <w:t>（11）完成县委、县政府交办的其他任务。</w:t>
      </w:r>
    </w:p>
    <w:p w14:paraId="5C7EBD7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2.部门机构设置</w:t>
      </w:r>
    </w:p>
    <w:p w14:paraId="11B96E9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设立墨脱县法律援助中心，归口县司法局管理，副科级事业单位。</w:t>
      </w:r>
    </w:p>
    <w:p w14:paraId="095E6FA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3.人员情况</w:t>
      </w:r>
    </w:p>
    <w:p w14:paraId="5624B6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outlineLvl w:val="9"/>
        <w:rPr>
          <w:rFonts w:hint="eastAsia" w:ascii="仿宋" w:hAnsi="仿宋" w:eastAsia="仿宋" w:cs="仿宋"/>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墨脱县司法局机关共有编制9名（局5个编制、司法所4个编制、法援中心2个编制），实有干部17人。其中：正科级干部3名，副科级干部7名，一级科员7名。本单位公益性岗位2名、三支一扶人员2名、专职人民调解员6名。</w:t>
      </w:r>
    </w:p>
    <w:p w14:paraId="0FF00FD4">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黑体" w:hAnsi="宋体" w:eastAsia="黑体"/>
          <w:sz w:val="32"/>
          <w:szCs w:val="32"/>
        </w:rPr>
      </w:pPr>
      <w:bookmarkStart w:id="0" w:name="YS060102"/>
      <w:r>
        <w:rPr>
          <w:rFonts w:hint="eastAsia" w:ascii="黑体" w:hAnsi="宋体" w:eastAsia="黑体"/>
          <w:sz w:val="32"/>
          <w:szCs w:val="32"/>
        </w:rPr>
        <w:t>二、当年取得的主要事业成效</w:t>
      </w:r>
    </w:p>
    <w:p w14:paraId="088771D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（一）全面推进依法治县各项工作。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健全完善常态化学习机制。把习近平法治思想持续纳入到各级党委（党组）理论中心组计划和县委党校主体班次教学安排中，进一步推动习近平法治思想及习近平总书记关于西藏工作的重要指示精神和新时代党的治藏方略在墨脱落地生根。</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强化工作落实。严格落实《党政主要负责人履行法治政府建设第一责任人职责规定》，对法治建设重大工作亲自部署、重大问题亲自过问、重要任务亲自督办。县委常委会、政府常务会定期听取全县法治建设工作汇报，召开全面依法治县委员会及法治宣传教育工作推进会，安排部署全年法治建设工作。</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建立健全党政主要负责人年度述法制度。各级党政主要负责人共60余人开展履职述法工作并提交述法报告。</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强化统筹安排。认真贯彻落实上级关于法治政府建设的重要决策部署，结合我县实际研究制定了全面依法治县、全年普法宣传、法治政府建设等工作要点。将法治政府建设纳入到政府年度目标任务中，与经济社会发展同部署、同推进、同落实。</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着力提升基层执法水平，全面推行行政执法“三项制度”，组织开展执法专项检查3次、执法单位“三项制度”专题培训2次，执法考试1场次。</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b w:val="0"/>
          <w:bCs w:val="0"/>
          <w:sz w:val="32"/>
          <w:szCs w:val="32"/>
          <w:lang w:val="en-US" w:eastAsia="zh-CN"/>
        </w:rPr>
        <w:t>深入推进墨脱县道路交通安全和运输执法领域突出问题专项整治行动，召开各类动员部署会议3场次，推进会7场次。开展道路交通安全和运输执法领域突出问题专项整治行动宣传活动共11次，开展执法检查34次。</w:t>
      </w:r>
    </w:p>
    <w:p w14:paraId="5D55DCF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lang w:val="en-US" w:eastAsia="zh-CN"/>
        </w:rPr>
      </w:pPr>
      <w:r>
        <w:rPr>
          <w:rFonts w:hint="eastAsia" w:ascii="仿宋_GB2312" w:hAnsi="仿宋_GB2312" w:eastAsia="仿宋_GB2312" w:cs="仿宋_GB2312"/>
          <w:b/>
          <w:bCs/>
          <w:sz w:val="32"/>
          <w:szCs w:val="32"/>
          <w:lang w:val="en-US" w:eastAsia="zh-CN"/>
        </w:rPr>
        <w:t>（二）扎实推进法律服务工作。一是</w:t>
      </w:r>
      <w:r>
        <w:rPr>
          <w:rFonts w:hint="eastAsia" w:ascii="仿宋_GB2312" w:hAnsi="仿宋_GB2312" w:eastAsia="仿宋_GB2312" w:cs="仿宋_GB2312"/>
          <w:b w:val="0"/>
          <w:bCs w:val="0"/>
          <w:sz w:val="32"/>
          <w:szCs w:val="32"/>
          <w:lang w:val="en-US" w:eastAsia="zh-CN"/>
        </w:rPr>
        <w:t>持续深入推进“八五”普法工作，迎接了自治区“八五”普法中期督导验收，举办各类法治宣传活动71场次，出动宣传人员97人次，悬挂横幅54条，受教人数8400余人次，发放宣传资料6600余份。组织全县法律明白人进行了业务培训。</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积极推进局党组班子接待来访群众活动48次，法律援助中心成功调处5件矛盾纠纷案件，接待咨询683余人次，代写法律文书386份，审核各部门合同355份。</w:t>
      </w:r>
    </w:p>
    <w:p w14:paraId="7B17E92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（三）调解工作。一是</w:t>
      </w:r>
      <w:r>
        <w:rPr>
          <w:rFonts w:hint="eastAsia" w:ascii="仿宋_GB2312" w:hAnsi="仿宋_GB2312" w:eastAsia="仿宋_GB2312" w:cs="仿宋_GB2312"/>
          <w:b w:val="0"/>
          <w:bCs w:val="0"/>
          <w:sz w:val="32"/>
          <w:szCs w:val="32"/>
          <w:lang w:val="en-US" w:eastAsia="zh-CN"/>
        </w:rPr>
        <w:t>加强对人民调解员的培训力度，深入各乡镇开展形式多样的“培训+法治宣传”活动，同时招聘了6名专职人民调解员。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加快建设“一站式”矛盾纠纷调解中心的建设，在县委政法委的组织领导下，我县“一站式”矛盾纠纷调解中心正式成立揭牌，设立了县乡村共55个“一站式”矛盾纠纷调解中心。</w:t>
      </w:r>
    </w:p>
    <w:p w14:paraId="70E214C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lang w:val="en-US" w:eastAsia="zh-CN"/>
        </w:rPr>
      </w:pPr>
      <w:r>
        <w:rPr>
          <w:rFonts w:hint="eastAsia" w:ascii="仿宋_GB2312" w:hAnsi="仿宋_GB2312" w:eastAsia="仿宋_GB2312" w:cs="仿宋_GB2312"/>
          <w:b/>
          <w:bCs/>
          <w:sz w:val="32"/>
          <w:szCs w:val="32"/>
          <w:lang w:val="en-US" w:eastAsia="zh-CN"/>
        </w:rPr>
        <w:t>（四）社区矫正及安置帮教。一是</w:t>
      </w:r>
      <w:r>
        <w:rPr>
          <w:rFonts w:hint="eastAsia" w:ascii="仿宋_GB2312" w:hAnsi="仿宋_GB2312" w:eastAsia="仿宋_GB2312" w:cs="仿宋_GB2312"/>
          <w:b w:val="0"/>
          <w:bCs w:val="0"/>
          <w:sz w:val="32"/>
          <w:szCs w:val="32"/>
          <w:lang w:val="en-US" w:eastAsia="zh-CN"/>
        </w:rPr>
        <w:t>加强队伍建设。开展工作人员法律法规学习活动2次、业务知识培训1次，切实提升社区矫正工作人员的业务水平和工作能力。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强化日常监督管理，实时掌握社区矫正对象思想动态和行动轨迹，确保“底数清、情况明”。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强化教育帮扶。依托矫正小组累计开展走访谈话工作206人次，集中教育学习28场次，个别教育146人次，公益劳动30场次。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强化协作配合。召开了墨脱县社区矫正委员会第二次全体会议暨2023年社区矫正第一次联席会，建立了墨脱县社区矫正与信息共享机制，规范我县社区矫正工作。</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提高突发事件应急处置能力。结合实际，制定了2023年社区矫正工作突发事件应急处置预案、3月份“两类人员”管控方案、虫草采挖期间两类人员管控方案。</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b w:val="0"/>
          <w:bCs w:val="0"/>
          <w:sz w:val="32"/>
          <w:szCs w:val="32"/>
          <w:lang w:val="en-US" w:eastAsia="zh-CN"/>
        </w:rPr>
        <w:t>开展督导检查。不定期对各司法所社区矫正工作开展情况进行专项工作检查，截至目前对各乡镇社区矫正工作累计检查10次，发现问题3件并提出整改意见，现已整改完毕。</w:t>
      </w:r>
    </w:p>
    <w:p w14:paraId="128C93C3">
      <w:pPr>
        <w:snapToGrid w:val="0"/>
        <w:spacing w:line="520" w:lineRule="exact"/>
        <w:ind w:firstLine="640" w:firstLineChars="200"/>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黑体" w:hAnsi="黑体" w:eastAsia="黑体"/>
          <w:sz w:val="32"/>
          <w:szCs w:val="32"/>
        </w:rPr>
        <w:t>二、收入支出预算执行情况分析</w:t>
      </w:r>
      <w:bookmarkEnd w:id="0"/>
    </w:p>
    <w:p w14:paraId="72F037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w:t>
      </w:r>
      <w:r>
        <w:rPr>
          <w:rFonts w:hint="eastAsia" w:ascii="楷体_GB2312" w:hAnsi="楷体_GB2312" w:eastAsia="楷体_GB2312" w:cs="楷体_GB2312"/>
          <w:b w:val="0"/>
          <w:bCs w:val="0"/>
          <w:i w:val="0"/>
          <w:iCs w:val="0"/>
          <w:caps w:val="0"/>
          <w:color w:val="auto"/>
          <w:spacing w:val="0"/>
          <w:sz w:val="32"/>
          <w:szCs w:val="32"/>
          <w:shd w:val="clear" w:fill="FFFFFF"/>
        </w:rPr>
        <w:t>一</w:t>
      </w: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w:t>
      </w:r>
      <w:r>
        <w:rPr>
          <w:rFonts w:hint="eastAsia" w:ascii="楷体_GB2312" w:hAnsi="楷体_GB2312" w:eastAsia="楷体_GB2312" w:cs="楷体_GB2312"/>
          <w:b w:val="0"/>
          <w:bCs w:val="0"/>
          <w:i w:val="0"/>
          <w:iCs w:val="0"/>
          <w:caps w:val="0"/>
          <w:color w:val="auto"/>
          <w:spacing w:val="0"/>
          <w:sz w:val="32"/>
          <w:szCs w:val="32"/>
          <w:shd w:val="clear" w:fill="FFFFFF"/>
        </w:rPr>
        <w:t>收入支出预算安排情况</w:t>
      </w:r>
    </w:p>
    <w:p w14:paraId="6728CCB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年初预算收入749.26万元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支</w:t>
      </w:r>
      <w:r>
        <w:rPr>
          <w:rFonts w:hint="eastAsia" w:ascii="仿宋_GB2312" w:hAnsi="仿宋_GB2312" w:eastAsia="仿宋_GB2312" w:cs="仿宋_GB2312"/>
          <w:i w:val="0"/>
          <w:iCs w:val="0"/>
          <w:caps w:val="0"/>
          <w:color w:val="auto"/>
          <w:spacing w:val="0"/>
          <w:sz w:val="32"/>
          <w:szCs w:val="32"/>
          <w:shd w:val="clear" w:fill="FFFFFF"/>
          <w:lang w:val="en-US" w:eastAsia="zh-CN"/>
        </w:rPr>
        <w:t>出749.26万元，</w:t>
      </w:r>
      <w:r>
        <w:rPr>
          <w:rFonts w:hint="eastAsia" w:ascii="仿宋_GB2312" w:hAnsi="仿宋_GB2312" w:eastAsia="仿宋_GB2312" w:cs="仿宋_GB2312"/>
          <w:i w:val="0"/>
          <w:iCs w:val="0"/>
          <w:caps w:val="0"/>
          <w:color w:val="auto"/>
          <w:spacing w:val="0"/>
          <w:sz w:val="32"/>
          <w:szCs w:val="32"/>
          <w:shd w:val="clear" w:fill="FFFFFF"/>
        </w:rPr>
        <w:t>与</w:t>
      </w:r>
      <w:r>
        <w:rPr>
          <w:rFonts w:hint="eastAsia" w:ascii="仿宋_GB2312" w:hAnsi="仿宋_GB2312" w:eastAsia="仿宋_GB2312" w:cs="仿宋_GB2312"/>
          <w:i w:val="0"/>
          <w:iCs w:val="0"/>
          <w:caps w:val="0"/>
          <w:color w:val="auto"/>
          <w:spacing w:val="0"/>
          <w:sz w:val="32"/>
          <w:szCs w:val="32"/>
          <w:shd w:val="clear" w:fill="FFFFFF"/>
          <w:lang w:val="en-US" w:eastAsia="zh-CN"/>
        </w:rPr>
        <w:t>2022</w:t>
      </w:r>
      <w:r>
        <w:rPr>
          <w:rFonts w:hint="eastAsia" w:ascii="仿宋_GB2312" w:hAnsi="仿宋_GB2312" w:eastAsia="仿宋_GB2312" w:cs="仿宋_GB2312"/>
          <w:i w:val="0"/>
          <w:iCs w:val="0"/>
          <w:caps w:val="0"/>
          <w:color w:val="auto"/>
          <w:spacing w:val="0"/>
          <w:sz w:val="32"/>
          <w:szCs w:val="32"/>
          <w:shd w:val="clear" w:fill="FFFFFF"/>
        </w:rPr>
        <w:t>年相比，收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支总计分别增加100.3万元、100.3万元，上升15.45%、15.45%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较上年增加主要原因是人员经费、公用经费增加（增加4名单位人员）。</w:t>
      </w:r>
    </w:p>
    <w:p w14:paraId="6DFE40E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default"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(二)收入、支出预算执行情况说明</w:t>
      </w:r>
    </w:p>
    <w:p w14:paraId="50DA303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both"/>
        <w:rPr>
          <w:rFonts w:hint="eastAsia" w:ascii="仿宋_GB2312" w:hAnsi="仿宋" w:eastAsia="仿宋_GB2312"/>
          <w:b/>
          <w:sz w:val="32"/>
          <w:szCs w:val="32"/>
          <w:lang w:val="en-US" w:eastAsia="zh-CN"/>
        </w:rPr>
      </w:pPr>
      <w:r>
        <w:rPr>
          <w:rFonts w:hint="eastAsia" w:ascii="仿宋" w:hAnsi="仿宋" w:eastAsia="仿宋" w:cs="仿宋"/>
          <w:i w:val="0"/>
          <w:iCs w:val="0"/>
          <w:caps w:val="0"/>
          <w:color w:val="auto"/>
          <w:spacing w:val="0"/>
          <w:sz w:val="32"/>
          <w:szCs w:val="32"/>
          <w:shd w:val="clear" w:fill="FFFFFF"/>
          <w:lang w:val="en-US" w:eastAsia="zh-CN"/>
        </w:rPr>
        <w:t>2023年度收入、支出均为</w:t>
      </w:r>
      <w:r>
        <w:rPr>
          <w:rFonts w:hint="eastAsia" w:ascii="仿宋_GB2312" w:hAnsi="仿宋_GB2312" w:eastAsia="仿宋_GB2312" w:cs="仿宋_GB2312"/>
          <w:i w:val="0"/>
          <w:iCs w:val="0"/>
          <w:caps w:val="0"/>
          <w:color w:val="auto"/>
          <w:spacing w:val="0"/>
          <w:sz w:val="32"/>
          <w:szCs w:val="32"/>
          <w:shd w:val="clear" w:fill="FFFFFF"/>
          <w:lang w:val="en-US" w:eastAsia="zh-CN"/>
        </w:rPr>
        <w:t>749.26</w:t>
      </w:r>
      <w:r>
        <w:rPr>
          <w:rFonts w:hint="eastAsia" w:ascii="仿宋" w:hAnsi="仿宋" w:eastAsia="仿宋" w:cs="仿宋"/>
          <w:i w:val="0"/>
          <w:iCs w:val="0"/>
          <w:caps w:val="0"/>
          <w:color w:val="auto"/>
          <w:spacing w:val="0"/>
          <w:sz w:val="32"/>
          <w:szCs w:val="32"/>
          <w:shd w:val="clear" w:fill="FFFFFF"/>
          <w:lang w:val="en-US" w:eastAsia="zh-CN"/>
        </w:rPr>
        <w:t>万元，</w:t>
      </w:r>
      <w:r>
        <w:rPr>
          <w:rFonts w:hint="eastAsia" w:ascii="仿宋_GB2312" w:hAnsi="仿宋_GB2312" w:eastAsia="仿宋_GB2312" w:cs="仿宋_GB2312"/>
          <w:i w:val="0"/>
          <w:iCs w:val="0"/>
          <w:caps w:val="0"/>
          <w:color w:val="auto"/>
          <w:spacing w:val="0"/>
          <w:sz w:val="32"/>
          <w:szCs w:val="32"/>
          <w:shd w:val="clear" w:fill="FFFFFF"/>
        </w:rPr>
        <w:t>与</w:t>
      </w:r>
      <w:r>
        <w:rPr>
          <w:rFonts w:hint="eastAsia" w:ascii="仿宋_GB2312" w:hAnsi="仿宋_GB2312" w:eastAsia="仿宋_GB2312" w:cs="仿宋_GB2312"/>
          <w:i w:val="0"/>
          <w:iCs w:val="0"/>
          <w:caps w:val="0"/>
          <w:color w:val="auto"/>
          <w:spacing w:val="0"/>
          <w:sz w:val="32"/>
          <w:szCs w:val="32"/>
          <w:shd w:val="clear" w:fill="FFFFFF"/>
          <w:lang w:val="en-US" w:eastAsia="zh-CN"/>
        </w:rPr>
        <w:t>2022</w:t>
      </w:r>
      <w:r>
        <w:rPr>
          <w:rFonts w:hint="eastAsia" w:ascii="仿宋_GB2312" w:hAnsi="仿宋_GB2312" w:eastAsia="仿宋_GB2312" w:cs="仿宋_GB2312"/>
          <w:i w:val="0"/>
          <w:iCs w:val="0"/>
          <w:caps w:val="0"/>
          <w:color w:val="auto"/>
          <w:spacing w:val="0"/>
          <w:sz w:val="32"/>
          <w:szCs w:val="32"/>
          <w:shd w:val="clear" w:fill="FFFFFF"/>
        </w:rPr>
        <w:t>年相比，</w:t>
      </w:r>
      <w:r>
        <w:rPr>
          <w:rFonts w:hint="eastAsia" w:ascii="仿宋_GB2312" w:hAnsi="仿宋_GB2312" w:eastAsia="仿宋_GB2312" w:cs="仿宋_GB2312"/>
          <w:i w:val="0"/>
          <w:iCs w:val="0"/>
          <w:caps w:val="0"/>
          <w:color w:val="auto"/>
          <w:spacing w:val="0"/>
          <w:sz w:val="32"/>
          <w:szCs w:val="32"/>
          <w:shd w:val="clear" w:fill="FFFFFF"/>
          <w:lang w:val="en-US" w:eastAsia="zh-CN"/>
        </w:rPr>
        <w:t>收、支增加100.3万元，增长15.45%。较上年增加主要原因是人员经费、公用经费增加（增加4名单位人员）。</w:t>
      </w:r>
    </w:p>
    <w:p w14:paraId="6C1A30FA">
      <w:pPr>
        <w:snapToGrid w:val="0"/>
        <w:spacing w:line="520" w:lineRule="exact"/>
        <w:ind w:firstLine="643" w:firstLineChars="200"/>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收入支出与预算对比分析</w:t>
      </w:r>
    </w:p>
    <w:p w14:paraId="30FB0DD3">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rightChars="0" w:firstLine="320" w:firstLineChars="100"/>
        <w:jc w:val="both"/>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2023年度全年预算收入、支出均为</w:t>
      </w:r>
      <w:r>
        <w:rPr>
          <w:rFonts w:hint="eastAsia" w:ascii="仿宋_GB2312" w:hAnsi="仿宋_GB2312" w:eastAsia="仿宋_GB2312" w:cs="仿宋_GB2312"/>
          <w:i w:val="0"/>
          <w:iCs w:val="0"/>
          <w:caps w:val="0"/>
          <w:color w:val="auto"/>
          <w:spacing w:val="0"/>
          <w:sz w:val="32"/>
          <w:szCs w:val="32"/>
          <w:shd w:val="clear" w:fill="FFFFFF"/>
          <w:lang w:val="en-US" w:eastAsia="zh-CN"/>
        </w:rPr>
        <w:t>749.26</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万元，2023年度全年决算收入、支出均为</w:t>
      </w:r>
      <w:r>
        <w:rPr>
          <w:rFonts w:hint="eastAsia" w:ascii="仿宋_GB2312" w:hAnsi="仿宋_GB2312" w:eastAsia="仿宋_GB2312" w:cs="仿宋_GB2312"/>
          <w:i w:val="0"/>
          <w:iCs w:val="0"/>
          <w:caps w:val="0"/>
          <w:color w:val="auto"/>
          <w:spacing w:val="0"/>
          <w:sz w:val="32"/>
          <w:szCs w:val="32"/>
          <w:shd w:val="clear" w:fill="FFFFFF"/>
          <w:lang w:val="en-US" w:eastAsia="zh-CN"/>
        </w:rPr>
        <w:t>749.26</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万元，2023年度预算、决算无差异。</w:t>
      </w:r>
    </w:p>
    <w:p w14:paraId="24F5C088">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rightChars="0" w:firstLine="643" w:firstLineChars="200"/>
        <w:jc w:val="both"/>
        <w:rPr>
          <w:rFonts w:hint="eastAsia" w:ascii="仿宋_GB2312" w:hAnsi="仿宋" w:eastAsia="仿宋_GB2312" w:cstheme="minorBidi"/>
          <w:b/>
          <w:kern w:val="2"/>
          <w:sz w:val="32"/>
          <w:szCs w:val="32"/>
          <w:lang w:val="en-US" w:eastAsia="zh-CN" w:bidi="ar-SA"/>
        </w:rPr>
      </w:pPr>
      <w:r>
        <w:rPr>
          <w:rFonts w:hint="eastAsia" w:ascii="仿宋_GB2312" w:hAnsi="仿宋" w:eastAsia="仿宋_GB2312" w:cstheme="minorBidi"/>
          <w:b/>
          <w:kern w:val="2"/>
          <w:sz w:val="32"/>
          <w:szCs w:val="32"/>
          <w:lang w:val="en-US" w:eastAsia="zh-CN" w:bidi="ar-SA"/>
        </w:rPr>
        <w:t>2.收入支出结构分析</w:t>
      </w:r>
    </w:p>
    <w:p w14:paraId="1512938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 2023年度收入</w:t>
      </w:r>
      <w:r>
        <w:rPr>
          <w:rFonts w:hint="eastAsia" w:ascii="仿宋_GB2312" w:hAnsi="仿宋_GB2312" w:eastAsia="仿宋_GB2312" w:cs="仿宋_GB2312"/>
          <w:i w:val="0"/>
          <w:iCs w:val="0"/>
          <w:caps w:val="0"/>
          <w:color w:val="auto"/>
          <w:spacing w:val="0"/>
          <w:sz w:val="32"/>
          <w:szCs w:val="32"/>
          <w:shd w:val="clear" w:fill="FFFFFF"/>
          <w:lang w:val="en-US" w:eastAsia="zh-CN"/>
        </w:rPr>
        <w:t>749.26</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万元，</w:t>
      </w:r>
      <w:r>
        <w:rPr>
          <w:rFonts w:hint="eastAsia" w:ascii="仿宋" w:hAnsi="仿宋" w:eastAsia="仿宋" w:cs="仿宋"/>
          <w:i w:val="0"/>
          <w:iCs w:val="0"/>
          <w:caps w:val="0"/>
          <w:color w:val="auto"/>
          <w:spacing w:val="0"/>
          <w:sz w:val="32"/>
          <w:szCs w:val="32"/>
          <w:shd w:val="clear" w:fill="FFFFFF"/>
          <w:lang w:val="en-US" w:eastAsia="zh-CN"/>
        </w:rPr>
        <w:t>其中：财政拨款收入</w:t>
      </w:r>
      <w:r>
        <w:rPr>
          <w:rFonts w:hint="eastAsia" w:ascii="仿宋_GB2312" w:hAnsi="仿宋_GB2312" w:eastAsia="仿宋_GB2312" w:cs="仿宋_GB2312"/>
          <w:i w:val="0"/>
          <w:iCs w:val="0"/>
          <w:caps w:val="0"/>
          <w:color w:val="auto"/>
          <w:spacing w:val="0"/>
          <w:sz w:val="32"/>
          <w:szCs w:val="32"/>
          <w:shd w:val="clear" w:fill="FFFFFF"/>
          <w:lang w:val="en-US" w:eastAsia="zh-CN"/>
        </w:rPr>
        <w:t>749.26</w:t>
      </w:r>
      <w:r>
        <w:rPr>
          <w:rFonts w:hint="eastAsia" w:ascii="仿宋" w:hAnsi="仿宋" w:eastAsia="仿宋" w:cs="仿宋"/>
          <w:i w:val="0"/>
          <w:iCs w:val="0"/>
          <w:caps w:val="0"/>
          <w:color w:val="auto"/>
          <w:spacing w:val="0"/>
          <w:sz w:val="32"/>
          <w:szCs w:val="32"/>
          <w:shd w:val="clear" w:fill="FFFFFF"/>
          <w:lang w:val="en-US" w:eastAsia="zh-CN"/>
        </w:rPr>
        <w:t>万元，占100%。</w:t>
      </w:r>
    </w:p>
    <w:p w14:paraId="6A0E3CC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both"/>
        <w:rPr>
          <w:rFonts w:hint="eastAsia" w:ascii="黑体" w:hAnsi="黑体" w:eastAsia="黑体" w:cs="黑体"/>
          <w:b w:val="0"/>
          <w:bCs w:val="0"/>
          <w:i w:val="0"/>
          <w:iCs w:val="0"/>
          <w:caps w:val="0"/>
          <w:color w:val="5B9BD5" w:themeColor="accent1"/>
          <w:spacing w:val="0"/>
          <w:sz w:val="32"/>
          <w:szCs w:val="32"/>
          <w:shd w:val="clear" w:fill="FFFFFF"/>
          <w:lang w:val="en-US" w:eastAsia="zh-CN"/>
          <w14:textFill>
            <w14:solidFill>
              <w14:schemeClr w14:val="accent1"/>
            </w14:solidFill>
          </w14:textFill>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 2023年度支出</w:t>
      </w:r>
      <w:r>
        <w:rPr>
          <w:rFonts w:hint="eastAsia" w:ascii="仿宋_GB2312" w:hAnsi="仿宋_GB2312" w:eastAsia="仿宋_GB2312" w:cs="仿宋_GB2312"/>
          <w:i w:val="0"/>
          <w:iCs w:val="0"/>
          <w:caps w:val="0"/>
          <w:color w:val="auto"/>
          <w:spacing w:val="0"/>
          <w:sz w:val="32"/>
          <w:szCs w:val="32"/>
          <w:shd w:val="clear" w:fill="FFFFFF"/>
          <w:lang w:val="en-US" w:eastAsia="zh-CN"/>
        </w:rPr>
        <w:t>749.26</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万元，其中：基本支出618.33万元，占</w:t>
      </w:r>
      <w:bookmarkStart w:id="1" w:name="_GoBack"/>
      <w:bookmarkEnd w:id="1"/>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83%；项目支出130.93万元，占17%。</w:t>
      </w:r>
    </w:p>
    <w:p w14:paraId="00565A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both"/>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(3)2023年度收、支均为</w:t>
      </w:r>
      <w:r>
        <w:rPr>
          <w:rFonts w:hint="eastAsia" w:ascii="仿宋_GB2312" w:hAnsi="仿宋_GB2312" w:eastAsia="仿宋_GB2312" w:cs="仿宋_GB2312"/>
          <w:i w:val="0"/>
          <w:iCs w:val="0"/>
          <w:caps w:val="0"/>
          <w:color w:val="auto"/>
          <w:spacing w:val="0"/>
          <w:sz w:val="32"/>
          <w:szCs w:val="32"/>
          <w:shd w:val="clear" w:fill="FFFFFF"/>
          <w:lang w:val="en-US" w:eastAsia="zh-CN"/>
        </w:rPr>
        <w:t>749.26</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万元，较上年相比，增加</w:t>
      </w:r>
      <w:r>
        <w:rPr>
          <w:rFonts w:hint="eastAsia" w:ascii="仿宋_GB2312" w:hAnsi="仿宋_GB2312" w:eastAsia="仿宋_GB2312" w:cs="仿宋_GB2312"/>
          <w:i w:val="0"/>
          <w:iCs w:val="0"/>
          <w:caps w:val="0"/>
          <w:color w:val="auto"/>
          <w:spacing w:val="0"/>
          <w:sz w:val="32"/>
          <w:szCs w:val="32"/>
          <w:shd w:val="clear" w:fill="FFFFFF"/>
          <w:lang w:val="en-US" w:eastAsia="zh-CN"/>
        </w:rPr>
        <w:t>100.3万元</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增加15.45%。较上年增加主要原因是人员经费、公用经费增加（增加4名单位人员）。</w:t>
      </w:r>
    </w:p>
    <w:p w14:paraId="192D089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3" w:firstLineChars="200"/>
        <w:jc w:val="both"/>
        <w:textAlignment w:val="auto"/>
        <w:rPr>
          <w:rFonts w:hint="eastAsia" w:ascii="仿宋_GB2312" w:hAnsi="仿宋" w:eastAsia="仿宋_GB2312" w:cstheme="minorBidi"/>
          <w:b/>
          <w:kern w:val="2"/>
          <w:sz w:val="32"/>
          <w:szCs w:val="32"/>
          <w:lang w:val="en-US" w:eastAsia="zh-CN" w:bidi="ar-SA"/>
        </w:rPr>
      </w:pPr>
      <w:r>
        <w:rPr>
          <w:rFonts w:hint="eastAsia" w:ascii="仿宋_GB2312" w:hAnsi="仿宋" w:eastAsia="仿宋_GB2312" w:cstheme="minorBidi"/>
          <w:b/>
          <w:kern w:val="2"/>
          <w:sz w:val="32"/>
          <w:szCs w:val="32"/>
          <w:lang w:val="en-US" w:eastAsia="zh-CN" w:bidi="ar-SA"/>
        </w:rPr>
        <w:t>3.支出按经济分类科目分析</w:t>
      </w:r>
    </w:p>
    <w:p w14:paraId="4B91535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(1)“三公”经费支出情况：2023年度“三公”经费预算数为7.16万元，均为公务用车运行费。2023年决算支出5.47万元，均为公务用车运行费5.47万元。</w:t>
      </w:r>
    </w:p>
    <w:p w14:paraId="79E2DCE4">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2023年度“三公”经费财政拨款支出决算5.47万元，均为公务用车运行费，较上年减少6.91万元，减少55.8%。减少的主要原因是2022年度对单位公车进行了更换了轮胎并进行了大维修产生维修费较高。</w:t>
      </w:r>
    </w:p>
    <w:p w14:paraId="087B52A2">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会议费支出情况</w:t>
      </w:r>
    </w:p>
    <w:p w14:paraId="3D45790A">
      <w:pPr>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无</w:t>
      </w:r>
    </w:p>
    <w:p w14:paraId="299E33D3">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培训费支出情况</w:t>
      </w:r>
    </w:p>
    <w:p w14:paraId="32BD4F17">
      <w:pPr>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2023年产生法律明白人、人民调解员培训费2.82万元。</w:t>
      </w:r>
    </w:p>
    <w:p w14:paraId="13993010">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其他对单位影响较大的支出情况。</w:t>
      </w:r>
    </w:p>
    <w:p w14:paraId="4F115C3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仿宋_GB2312" w:hAnsi="仿宋" w:eastAsia="仿宋_GB2312"/>
          <w:sz w:val="32"/>
          <w:szCs w:val="32"/>
          <w:lang w:val="en-US" w:eastAsia="zh-CN"/>
        </w:rPr>
        <w:t>无</w:t>
      </w:r>
    </w:p>
    <w:p w14:paraId="5C59446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3"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财政拨款收入、支出分析</w:t>
      </w:r>
    </w:p>
    <w:p w14:paraId="347A33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2023年度财政拨款收、支均为</w:t>
      </w:r>
      <w:r>
        <w:rPr>
          <w:rFonts w:hint="eastAsia" w:ascii="仿宋_GB2312" w:hAnsi="仿宋_GB2312" w:eastAsia="仿宋_GB2312" w:cs="仿宋_GB2312"/>
          <w:i w:val="0"/>
          <w:iCs w:val="0"/>
          <w:caps w:val="0"/>
          <w:color w:val="auto"/>
          <w:spacing w:val="0"/>
          <w:sz w:val="32"/>
          <w:szCs w:val="32"/>
          <w:shd w:val="clear" w:fill="FFFFFF"/>
          <w:lang w:val="en-US" w:eastAsia="zh-CN"/>
        </w:rPr>
        <w:t>749.26</w:t>
      </w:r>
      <w:r>
        <w:rPr>
          <w:rFonts w:hint="eastAsia" w:ascii="仿宋" w:hAnsi="仿宋" w:eastAsia="仿宋" w:cs="仿宋"/>
          <w:i w:val="0"/>
          <w:iCs w:val="0"/>
          <w:caps w:val="0"/>
          <w:color w:val="auto"/>
          <w:spacing w:val="0"/>
          <w:sz w:val="32"/>
          <w:szCs w:val="32"/>
          <w:shd w:val="clear" w:fill="FFFFFF"/>
          <w:lang w:val="en-US" w:eastAsia="zh-CN"/>
        </w:rPr>
        <w:t>万元，占本年收、支合计的100%。</w:t>
      </w:r>
      <w:r>
        <w:rPr>
          <w:rFonts w:hint="eastAsia" w:ascii="仿宋_GB2312" w:hAnsi="仿宋_GB2312" w:eastAsia="仿宋_GB2312" w:cs="仿宋_GB2312"/>
          <w:i w:val="0"/>
          <w:iCs w:val="0"/>
          <w:caps w:val="0"/>
          <w:color w:val="auto"/>
          <w:spacing w:val="0"/>
          <w:sz w:val="32"/>
          <w:szCs w:val="32"/>
          <w:shd w:val="clear" w:fill="FFFFFF"/>
        </w:rPr>
        <w:t>与</w:t>
      </w:r>
      <w:r>
        <w:rPr>
          <w:rFonts w:hint="eastAsia" w:ascii="仿宋_GB2312" w:hAnsi="仿宋_GB2312" w:eastAsia="仿宋_GB2312" w:cs="仿宋_GB2312"/>
          <w:i w:val="0"/>
          <w:iCs w:val="0"/>
          <w:caps w:val="0"/>
          <w:color w:val="auto"/>
          <w:spacing w:val="0"/>
          <w:sz w:val="32"/>
          <w:szCs w:val="32"/>
          <w:shd w:val="clear" w:fill="FFFFFF"/>
          <w:lang w:val="en-US" w:eastAsia="zh-CN"/>
        </w:rPr>
        <w:t>2022</w:t>
      </w:r>
      <w:r>
        <w:rPr>
          <w:rFonts w:hint="eastAsia" w:ascii="仿宋_GB2312" w:hAnsi="仿宋_GB2312" w:eastAsia="仿宋_GB2312" w:cs="仿宋_GB2312"/>
          <w:i w:val="0"/>
          <w:iCs w:val="0"/>
          <w:caps w:val="0"/>
          <w:color w:val="auto"/>
          <w:spacing w:val="0"/>
          <w:sz w:val="32"/>
          <w:szCs w:val="32"/>
          <w:shd w:val="clear" w:fill="FFFFFF"/>
        </w:rPr>
        <w:t>年相比，</w:t>
      </w:r>
      <w:r>
        <w:rPr>
          <w:rFonts w:hint="eastAsia" w:ascii="仿宋_GB2312" w:hAnsi="仿宋_GB2312" w:eastAsia="仿宋_GB2312" w:cs="仿宋_GB2312"/>
          <w:i w:val="0"/>
          <w:iCs w:val="0"/>
          <w:caps w:val="0"/>
          <w:color w:val="auto"/>
          <w:spacing w:val="0"/>
          <w:sz w:val="32"/>
          <w:szCs w:val="32"/>
          <w:shd w:val="clear" w:fill="FFFFFF"/>
          <w:lang w:val="en-US" w:eastAsia="zh-CN"/>
        </w:rPr>
        <w:t>收、支增加100.3万元，增加15.45%。较上年增加主要原因是人员经费、公用经费增加（增加4名单位人员）。</w:t>
      </w:r>
    </w:p>
    <w:p w14:paraId="2AB7D3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2023年度财政拨款支出</w:t>
      </w:r>
      <w:r>
        <w:rPr>
          <w:rFonts w:hint="eastAsia" w:ascii="仿宋_GB2312" w:hAnsi="仿宋_GB2312" w:eastAsia="仿宋_GB2312" w:cs="仿宋_GB2312"/>
          <w:i w:val="0"/>
          <w:iCs w:val="0"/>
          <w:caps w:val="0"/>
          <w:color w:val="auto"/>
          <w:spacing w:val="0"/>
          <w:sz w:val="32"/>
          <w:szCs w:val="32"/>
          <w:shd w:val="clear" w:fill="FFFFFF"/>
          <w:lang w:val="en-US" w:eastAsia="zh-CN"/>
        </w:rPr>
        <w:t>749.26</w:t>
      </w:r>
      <w:r>
        <w:rPr>
          <w:rFonts w:hint="eastAsia" w:ascii="仿宋" w:hAnsi="仿宋" w:eastAsia="仿宋" w:cs="仿宋"/>
          <w:i w:val="0"/>
          <w:iCs w:val="0"/>
          <w:caps w:val="0"/>
          <w:color w:val="auto"/>
          <w:spacing w:val="0"/>
          <w:sz w:val="32"/>
          <w:szCs w:val="32"/>
          <w:shd w:val="clear" w:fill="FFFFFF"/>
          <w:lang w:val="en-US" w:eastAsia="zh-CN"/>
        </w:rPr>
        <w:t>万元，主要用于以下方面：一般公共服务支出594.61万元，占79.36%；社会保障和就业支出62.61万元，占8.36%；卫生健康支出34.2万元，占4.57%；住房保障支出57.82万元，占7.72%。</w:t>
      </w:r>
    </w:p>
    <w:p w14:paraId="149352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p>
    <w:p w14:paraId="71DE5E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p>
    <w:p w14:paraId="1F91BE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jc w:val="center"/>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墨脱县司法局</w:t>
      </w:r>
    </w:p>
    <w:p w14:paraId="6454DE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jc w:val="center"/>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2024年11月18日</w:t>
      </w:r>
    </w:p>
    <w:p w14:paraId="5A183FEF">
      <w:pPr>
        <w:rPr>
          <w:color w:val="auto"/>
        </w:rPr>
      </w:pPr>
    </w:p>
    <w:sectPr>
      <w:footerReference r:id="rId4" w:type="default"/>
      <w:pgSz w:w="11906" w:h="16838"/>
      <w:pgMar w:top="2154"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0831">
    <w:pPr>
      <w:spacing w:line="180" w:lineRule="auto"/>
      <w:ind w:left="4136"/>
      <w:rPr>
        <w:rFonts w:ascii="宋体" w:hAnsi="宋体" w:eastAsia="宋体" w:cs="宋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A53A">
    <w:pPr>
      <w:spacing w:line="180" w:lineRule="auto"/>
      <w:ind w:left="4136"/>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60B67">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D060B67">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2M2ODY5YWM1MjdmYTVhODA0Y2FlMGU4ZGVhM2IifQ=="/>
  </w:docVars>
  <w:rsids>
    <w:rsidRoot w:val="00000000"/>
    <w:rsid w:val="01F50DD6"/>
    <w:rsid w:val="025378F1"/>
    <w:rsid w:val="03737304"/>
    <w:rsid w:val="04510511"/>
    <w:rsid w:val="04B7702A"/>
    <w:rsid w:val="05063E9C"/>
    <w:rsid w:val="05DD6700"/>
    <w:rsid w:val="06024299"/>
    <w:rsid w:val="060476E5"/>
    <w:rsid w:val="0670607B"/>
    <w:rsid w:val="072469CD"/>
    <w:rsid w:val="0A181DC8"/>
    <w:rsid w:val="0A636110"/>
    <w:rsid w:val="0AFD660A"/>
    <w:rsid w:val="0B4D57F6"/>
    <w:rsid w:val="0B525A4C"/>
    <w:rsid w:val="0B7B2948"/>
    <w:rsid w:val="0D7674A5"/>
    <w:rsid w:val="0F2C4C78"/>
    <w:rsid w:val="13C40AA0"/>
    <w:rsid w:val="181015CB"/>
    <w:rsid w:val="19890C9D"/>
    <w:rsid w:val="1A2A35CE"/>
    <w:rsid w:val="1BED12B4"/>
    <w:rsid w:val="1EAC7829"/>
    <w:rsid w:val="209E05F3"/>
    <w:rsid w:val="21650B7D"/>
    <w:rsid w:val="2383203F"/>
    <w:rsid w:val="27604814"/>
    <w:rsid w:val="27650660"/>
    <w:rsid w:val="27C54D2A"/>
    <w:rsid w:val="27F53F9E"/>
    <w:rsid w:val="2A816B4C"/>
    <w:rsid w:val="2B407FDF"/>
    <w:rsid w:val="2EB70B07"/>
    <w:rsid w:val="2F4A2072"/>
    <w:rsid w:val="3182203C"/>
    <w:rsid w:val="31C24AD1"/>
    <w:rsid w:val="31C41D6F"/>
    <w:rsid w:val="331D35FA"/>
    <w:rsid w:val="333D6832"/>
    <w:rsid w:val="33F95E15"/>
    <w:rsid w:val="34C54118"/>
    <w:rsid w:val="34D65A7E"/>
    <w:rsid w:val="35B61B54"/>
    <w:rsid w:val="36446BEF"/>
    <w:rsid w:val="367B2B4C"/>
    <w:rsid w:val="39555804"/>
    <w:rsid w:val="395E392A"/>
    <w:rsid w:val="3A3478FB"/>
    <w:rsid w:val="3C5941EF"/>
    <w:rsid w:val="3C7C036D"/>
    <w:rsid w:val="3D3F5F44"/>
    <w:rsid w:val="3EB412B6"/>
    <w:rsid w:val="404E15D8"/>
    <w:rsid w:val="40EA40D2"/>
    <w:rsid w:val="43386442"/>
    <w:rsid w:val="44711C64"/>
    <w:rsid w:val="44713D1E"/>
    <w:rsid w:val="453A64CA"/>
    <w:rsid w:val="45C20143"/>
    <w:rsid w:val="463351B6"/>
    <w:rsid w:val="46780E1B"/>
    <w:rsid w:val="48C807CA"/>
    <w:rsid w:val="4A037512"/>
    <w:rsid w:val="4C6C2082"/>
    <w:rsid w:val="4CB76F46"/>
    <w:rsid w:val="4F952A3E"/>
    <w:rsid w:val="4FA54039"/>
    <w:rsid w:val="51AE2E86"/>
    <w:rsid w:val="51C94C21"/>
    <w:rsid w:val="52102850"/>
    <w:rsid w:val="5245699D"/>
    <w:rsid w:val="52E226B5"/>
    <w:rsid w:val="532D3905"/>
    <w:rsid w:val="53570A15"/>
    <w:rsid w:val="536A5836"/>
    <w:rsid w:val="551E5284"/>
    <w:rsid w:val="551F2F03"/>
    <w:rsid w:val="55E020F8"/>
    <w:rsid w:val="567E5299"/>
    <w:rsid w:val="57455939"/>
    <w:rsid w:val="58573C23"/>
    <w:rsid w:val="58796BBB"/>
    <w:rsid w:val="59CD7EAF"/>
    <w:rsid w:val="59DE0BE3"/>
    <w:rsid w:val="5A2E23A3"/>
    <w:rsid w:val="5A3D7F5A"/>
    <w:rsid w:val="5B364F01"/>
    <w:rsid w:val="5BED17B6"/>
    <w:rsid w:val="5C3435DF"/>
    <w:rsid w:val="5C54032F"/>
    <w:rsid w:val="5F73245A"/>
    <w:rsid w:val="600911AA"/>
    <w:rsid w:val="60695279"/>
    <w:rsid w:val="606F75D8"/>
    <w:rsid w:val="60BD245C"/>
    <w:rsid w:val="62A22CDB"/>
    <w:rsid w:val="637E6188"/>
    <w:rsid w:val="65350EC3"/>
    <w:rsid w:val="65E31709"/>
    <w:rsid w:val="67407D70"/>
    <w:rsid w:val="6750726C"/>
    <w:rsid w:val="68192A01"/>
    <w:rsid w:val="68271103"/>
    <w:rsid w:val="6948644E"/>
    <w:rsid w:val="69D63F27"/>
    <w:rsid w:val="6B614E5A"/>
    <w:rsid w:val="6C060036"/>
    <w:rsid w:val="6C400BC8"/>
    <w:rsid w:val="6DDA5871"/>
    <w:rsid w:val="6DE408FC"/>
    <w:rsid w:val="6E0831DC"/>
    <w:rsid w:val="6EB24D41"/>
    <w:rsid w:val="6F2F210F"/>
    <w:rsid w:val="720B44A1"/>
    <w:rsid w:val="73A54802"/>
    <w:rsid w:val="74AD7726"/>
    <w:rsid w:val="75AE2178"/>
    <w:rsid w:val="75BF1D13"/>
    <w:rsid w:val="7A8E294A"/>
    <w:rsid w:val="7B1D38A8"/>
    <w:rsid w:val="7BFD3595"/>
    <w:rsid w:val="7C256951"/>
    <w:rsid w:val="7CAF351E"/>
    <w:rsid w:val="7D2C5EE0"/>
    <w:rsid w:val="7D4D47BC"/>
    <w:rsid w:val="7DE26DEC"/>
    <w:rsid w:val="7E5E29D9"/>
    <w:rsid w:val="7E70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toc 3"/>
    <w:basedOn w:val="1"/>
    <w:next w:val="1"/>
    <w:qFormat/>
    <w:uiPriority w:val="0"/>
    <w:pPr>
      <w:ind w:left="840" w:leftChars="400"/>
    </w:pPr>
  </w:style>
  <w:style w:type="paragraph" w:styleId="7">
    <w:name w:val="Body Text"/>
    <w:basedOn w:val="1"/>
    <w:semiHidden/>
    <w:qFormat/>
    <w:uiPriority w:val="0"/>
    <w:rPr>
      <w:rFonts w:ascii="仿宋" w:hAnsi="仿宋" w:eastAsia="仿宋" w:cs="仿宋"/>
      <w:sz w:val="45"/>
      <w:szCs w:val="45"/>
      <w:lang w:val="en-US" w:eastAsia="en-US"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3077</Words>
  <Characters>3371</Characters>
  <Lines>0</Lines>
  <Paragraphs>0</Paragraphs>
  <TotalTime>0</TotalTime>
  <ScaleCrop>false</ScaleCrop>
  <LinksUpToDate>false</LinksUpToDate>
  <CharactersWithSpaces>3442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2024-11-18T09:57:00Z</cp:lastPrinted>
  <dcterms:modified xsi:type="dcterms:W3CDTF">2024-11-21T10:23:48Z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9092C7CFCA534CFDA89BBD55BCDF5F0F_13</vt:lpwstr>
  </property>
</Properties>
</file>