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FEBAE">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6AC4743A">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28AE6D3A">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6FE37049">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362CE50A">
      <w:pPr>
        <w:keepNext w:val="0"/>
        <w:keepLines w:val="0"/>
        <w:pageBreakBefore w:val="0"/>
        <w:kinsoku/>
        <w:wordWrap/>
        <w:overflowPunct/>
        <w:topLinePunct w:val="0"/>
        <w:bidi w:val="0"/>
        <w:snapToGrid/>
        <w:spacing w:line="576"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墨脱县加热萨乡人民政府</w:t>
      </w:r>
      <w:r>
        <w:rPr>
          <w:rFonts w:hint="eastAsia" w:ascii="方正小标宋简体" w:hAnsi="仿宋" w:eastAsia="方正小标宋简体"/>
          <w:sz w:val="44"/>
          <w:szCs w:val="44"/>
          <w:lang w:eastAsia="zh-CN"/>
        </w:rPr>
        <w:t>2025</w:t>
      </w:r>
      <w:r>
        <w:rPr>
          <w:rFonts w:hint="eastAsia" w:ascii="方正小标宋简体" w:hAnsi="仿宋" w:eastAsia="方正小标宋简体"/>
          <w:sz w:val="44"/>
          <w:szCs w:val="44"/>
        </w:rPr>
        <w:t>年度</w:t>
      </w:r>
    </w:p>
    <w:p w14:paraId="41BD2716">
      <w:pPr>
        <w:keepNext w:val="0"/>
        <w:keepLines w:val="0"/>
        <w:pageBreakBefore w:val="0"/>
        <w:kinsoku/>
        <w:wordWrap/>
        <w:overflowPunct/>
        <w:topLinePunct w:val="0"/>
        <w:bidi w:val="0"/>
        <w:snapToGrid/>
        <w:spacing w:line="576"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部门（单位）预算</w:t>
      </w:r>
    </w:p>
    <w:p w14:paraId="57E9D2CA">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7B2AC78E">
      <w:pPr>
        <w:keepNext w:val="0"/>
        <w:keepLines w:val="0"/>
        <w:pageBreakBefore w:val="0"/>
        <w:kinsoku/>
        <w:wordWrap/>
        <w:overflowPunct/>
        <w:topLinePunct w:val="0"/>
        <w:bidi w:val="0"/>
        <w:snapToGrid/>
        <w:spacing w:line="576" w:lineRule="exact"/>
        <w:ind w:firstLine="640" w:firstLineChars="200"/>
        <w:rPr>
          <w:rFonts w:hint="eastAsia" w:ascii="仿宋" w:hAnsi="仿宋" w:eastAsia="仿宋_GB2312"/>
          <w:sz w:val="32"/>
          <w:szCs w:val="32"/>
        </w:rPr>
      </w:pPr>
    </w:p>
    <w:p w14:paraId="148632A7">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64CF49A1">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3488067A">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4147D09C">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74F9892B">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24780227">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6CF6D5E9">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2A6CA130">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334A1C10">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74748BF2">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176A33BB">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6308FA4B">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014A7E3F">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69CCB16A">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7FE400CE">
      <w:pPr>
        <w:keepNext w:val="0"/>
        <w:keepLines w:val="0"/>
        <w:pageBreakBefore w:val="0"/>
        <w:kinsoku/>
        <w:wordWrap/>
        <w:overflowPunct/>
        <w:topLinePunct w:val="0"/>
        <w:bidi w:val="0"/>
        <w:snapToGrid/>
        <w:spacing w:line="576" w:lineRule="exact"/>
        <w:jc w:val="center"/>
        <w:rPr>
          <w:rFonts w:hint="eastAsia" w:ascii="方正小标宋简体" w:hAnsi="仿宋" w:eastAsia="方正小标宋简体"/>
          <w:sz w:val="44"/>
          <w:szCs w:val="44"/>
        </w:rPr>
      </w:pPr>
    </w:p>
    <w:p w14:paraId="13073B10">
      <w:pPr>
        <w:keepNext w:val="0"/>
        <w:keepLines w:val="0"/>
        <w:pageBreakBefore w:val="0"/>
        <w:kinsoku/>
        <w:wordWrap/>
        <w:overflowPunct/>
        <w:topLinePunct w:val="0"/>
        <w:bidi w:val="0"/>
        <w:snapToGrid/>
        <w:spacing w:line="576" w:lineRule="exact"/>
        <w:jc w:val="center"/>
        <w:rPr>
          <w:rFonts w:hint="eastAsia" w:ascii="方正小标宋简体" w:hAnsi="仿宋" w:eastAsia="方正小标宋简体"/>
          <w:sz w:val="44"/>
          <w:szCs w:val="44"/>
        </w:rPr>
      </w:pPr>
    </w:p>
    <w:p w14:paraId="03A069CA">
      <w:pPr>
        <w:keepNext w:val="0"/>
        <w:keepLines w:val="0"/>
        <w:pageBreakBefore w:val="0"/>
        <w:kinsoku/>
        <w:wordWrap/>
        <w:overflowPunct/>
        <w:topLinePunct w:val="0"/>
        <w:bidi w:val="0"/>
        <w:snapToGrid/>
        <w:spacing w:line="576"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14:paraId="3665DCE7">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71D9F295">
      <w:pPr>
        <w:keepNext w:val="0"/>
        <w:keepLines w:val="0"/>
        <w:pageBreakBefore w:val="0"/>
        <w:kinsoku/>
        <w:wordWrap/>
        <w:overflowPunct/>
        <w:topLinePunct w:val="0"/>
        <w:bidi w:val="0"/>
        <w:snapToGrid/>
        <w:spacing w:line="576" w:lineRule="exact"/>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val="en-US" w:eastAsia="zh-CN"/>
        </w:rPr>
        <w:t>墨脱县加热萨乡人民政府</w:t>
      </w:r>
      <w:r>
        <w:rPr>
          <w:rFonts w:hint="eastAsia" w:ascii="方正小标宋简体" w:hAnsi="仿宋" w:eastAsia="方正小标宋简体"/>
          <w:sz w:val="32"/>
          <w:szCs w:val="32"/>
        </w:rPr>
        <w:t>概况</w:t>
      </w:r>
    </w:p>
    <w:p w14:paraId="0B940157">
      <w:pPr>
        <w:keepNext w:val="0"/>
        <w:keepLines w:val="0"/>
        <w:pageBreakBefore w:val="0"/>
        <w:kinsoku/>
        <w:wordWrap/>
        <w:overflowPunct/>
        <w:topLinePunct w:val="0"/>
        <w:bidi w:val="0"/>
        <w:snapToGrid/>
        <w:spacing w:line="576" w:lineRule="exact"/>
        <w:rPr>
          <w:rFonts w:ascii="黑体" w:hAnsi="黑体" w:eastAsia="黑体"/>
          <w:sz w:val="32"/>
          <w:szCs w:val="32"/>
        </w:rPr>
      </w:pPr>
      <w:r>
        <w:rPr>
          <w:rFonts w:hint="eastAsia" w:ascii="黑体" w:hAnsi="黑体" w:eastAsia="黑体"/>
          <w:sz w:val="32"/>
          <w:szCs w:val="32"/>
        </w:rPr>
        <w:t>一、主要职能</w:t>
      </w:r>
    </w:p>
    <w:p w14:paraId="739203B7">
      <w:pPr>
        <w:keepNext w:val="0"/>
        <w:keepLines w:val="0"/>
        <w:pageBreakBefore w:val="0"/>
        <w:kinsoku/>
        <w:wordWrap/>
        <w:overflowPunct/>
        <w:topLinePunct w:val="0"/>
        <w:bidi w:val="0"/>
        <w:snapToGrid/>
        <w:spacing w:line="576" w:lineRule="exact"/>
        <w:rPr>
          <w:rFonts w:ascii="黑体" w:hAnsi="黑体" w:eastAsia="黑体"/>
          <w:sz w:val="32"/>
          <w:szCs w:val="32"/>
        </w:rPr>
      </w:pPr>
      <w:r>
        <w:rPr>
          <w:rFonts w:hint="eastAsia" w:ascii="黑体" w:hAnsi="黑体" w:eastAsia="黑体"/>
          <w:sz w:val="32"/>
          <w:szCs w:val="32"/>
        </w:rPr>
        <w:t>二、部门（</w:t>
      </w:r>
      <w:r>
        <w:rPr>
          <w:rFonts w:hint="eastAsia" w:ascii="方正小标宋简体" w:hAnsi="仿宋" w:eastAsia="方正小标宋简体"/>
          <w:sz w:val="32"/>
          <w:szCs w:val="32"/>
        </w:rPr>
        <w:t>单位</w:t>
      </w:r>
      <w:r>
        <w:rPr>
          <w:rFonts w:hint="eastAsia" w:ascii="黑体" w:hAnsi="黑体" w:eastAsia="黑体"/>
          <w:sz w:val="32"/>
          <w:szCs w:val="32"/>
        </w:rPr>
        <w:t>）机构设置</w:t>
      </w:r>
      <w:r>
        <w:rPr>
          <w:rFonts w:ascii="黑体" w:hAnsi="黑体" w:eastAsia="黑体"/>
          <w:sz w:val="32"/>
          <w:szCs w:val="32"/>
        </w:rPr>
        <w:t>情况</w:t>
      </w:r>
    </w:p>
    <w:p w14:paraId="12337682">
      <w:pPr>
        <w:keepNext w:val="0"/>
        <w:keepLines w:val="0"/>
        <w:pageBreakBefore w:val="0"/>
        <w:kinsoku/>
        <w:wordWrap/>
        <w:overflowPunct/>
        <w:topLinePunct w:val="0"/>
        <w:bidi w:val="0"/>
        <w:snapToGrid/>
        <w:spacing w:line="576" w:lineRule="exact"/>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val="en-US" w:eastAsia="zh-CN"/>
        </w:rPr>
        <w:t>墨脱县加热萨乡人民政府</w:t>
      </w:r>
      <w:r>
        <w:rPr>
          <w:rFonts w:hint="eastAsia" w:ascii="方正小标宋简体" w:hAnsi="仿宋" w:eastAsia="方正小标宋简体"/>
          <w:sz w:val="32"/>
          <w:szCs w:val="32"/>
        </w:rPr>
        <w:t>部门预算明细表</w:t>
      </w:r>
    </w:p>
    <w:p w14:paraId="0E9E9490">
      <w:pPr>
        <w:keepNext w:val="0"/>
        <w:keepLines w:val="0"/>
        <w:pageBreakBefore w:val="0"/>
        <w:kinsoku/>
        <w:wordWrap/>
        <w:overflowPunct/>
        <w:topLinePunct w:val="0"/>
        <w:bidi w:val="0"/>
        <w:snapToGrid/>
        <w:spacing w:line="576" w:lineRule="exact"/>
        <w:jc w:val="left"/>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val="en-US" w:eastAsia="zh-CN"/>
        </w:rPr>
        <w:t>墨脱县加热萨乡</w:t>
      </w:r>
      <w:r>
        <w:rPr>
          <w:rFonts w:hint="eastAsia" w:ascii="方正小标宋简体" w:hAnsi="仿宋" w:eastAsia="方正小标宋简体"/>
          <w:sz w:val="32"/>
          <w:szCs w:val="32"/>
        </w:rPr>
        <w:t>部门预算数据分析</w:t>
      </w:r>
    </w:p>
    <w:p w14:paraId="5D58B616">
      <w:pPr>
        <w:keepNext w:val="0"/>
        <w:keepLines w:val="0"/>
        <w:pageBreakBefore w:val="0"/>
        <w:kinsoku/>
        <w:wordWrap/>
        <w:overflowPunct/>
        <w:topLinePunct w:val="0"/>
        <w:bidi w:val="0"/>
        <w:snapToGrid/>
        <w:spacing w:line="576" w:lineRule="exact"/>
        <w:rPr>
          <w:rFonts w:ascii="黑体" w:hAnsi="黑体" w:eastAsia="黑体"/>
          <w:sz w:val="32"/>
          <w:szCs w:val="32"/>
        </w:rPr>
      </w:pPr>
      <w:r>
        <w:rPr>
          <w:rFonts w:hint="eastAsia" w:ascii="黑体" w:hAnsi="黑体" w:eastAsia="黑体"/>
          <w:sz w:val="32"/>
          <w:szCs w:val="32"/>
        </w:rPr>
        <w:t>一、部门/单位收支总体情况</w:t>
      </w:r>
    </w:p>
    <w:p w14:paraId="60FEB378">
      <w:pPr>
        <w:keepNext w:val="0"/>
        <w:keepLines w:val="0"/>
        <w:pageBreakBefore w:val="0"/>
        <w:kinsoku/>
        <w:wordWrap/>
        <w:overflowPunct/>
        <w:topLinePunct w:val="0"/>
        <w:bidi w:val="0"/>
        <w:snapToGrid/>
        <w:spacing w:line="576" w:lineRule="exact"/>
        <w:rPr>
          <w:rFonts w:ascii="黑体" w:hAnsi="黑体" w:eastAsia="黑体"/>
          <w:sz w:val="32"/>
          <w:szCs w:val="32"/>
        </w:rPr>
      </w:pPr>
      <w:r>
        <w:rPr>
          <w:rFonts w:hint="eastAsia" w:ascii="黑体" w:hAnsi="黑体" w:eastAsia="黑体"/>
          <w:sz w:val="32"/>
          <w:szCs w:val="32"/>
        </w:rPr>
        <w:t>二、部门/单位收入总体情况</w:t>
      </w:r>
    </w:p>
    <w:p w14:paraId="54AA421F">
      <w:pPr>
        <w:keepNext w:val="0"/>
        <w:keepLines w:val="0"/>
        <w:pageBreakBefore w:val="0"/>
        <w:kinsoku/>
        <w:wordWrap/>
        <w:overflowPunct/>
        <w:topLinePunct w:val="0"/>
        <w:bidi w:val="0"/>
        <w:snapToGrid/>
        <w:spacing w:line="576" w:lineRule="exact"/>
        <w:rPr>
          <w:rFonts w:ascii="黑体" w:hAnsi="黑体" w:eastAsia="黑体"/>
          <w:sz w:val="32"/>
          <w:szCs w:val="32"/>
        </w:rPr>
      </w:pPr>
      <w:r>
        <w:rPr>
          <w:rFonts w:hint="eastAsia" w:ascii="黑体" w:hAnsi="黑体" w:eastAsia="黑体"/>
          <w:sz w:val="32"/>
          <w:szCs w:val="32"/>
        </w:rPr>
        <w:t>三、部门/单位支出总体情况</w:t>
      </w:r>
    </w:p>
    <w:p w14:paraId="03120385">
      <w:pPr>
        <w:keepNext w:val="0"/>
        <w:keepLines w:val="0"/>
        <w:pageBreakBefore w:val="0"/>
        <w:kinsoku/>
        <w:wordWrap/>
        <w:overflowPunct/>
        <w:topLinePunct w:val="0"/>
        <w:bidi w:val="0"/>
        <w:snapToGrid/>
        <w:spacing w:line="576" w:lineRule="exact"/>
        <w:rPr>
          <w:rFonts w:ascii="黑体" w:hAnsi="黑体" w:eastAsia="黑体"/>
          <w:sz w:val="32"/>
          <w:szCs w:val="32"/>
        </w:rPr>
      </w:pPr>
      <w:r>
        <w:rPr>
          <w:rFonts w:hint="eastAsia" w:ascii="黑体" w:hAnsi="黑体" w:eastAsia="黑体"/>
          <w:sz w:val="32"/>
          <w:szCs w:val="32"/>
        </w:rPr>
        <w:t>四、财政拨款收支总体情况</w:t>
      </w:r>
    </w:p>
    <w:p w14:paraId="50D8CFB3">
      <w:pPr>
        <w:keepNext w:val="0"/>
        <w:keepLines w:val="0"/>
        <w:pageBreakBefore w:val="0"/>
        <w:kinsoku/>
        <w:wordWrap/>
        <w:overflowPunct/>
        <w:topLinePunct w:val="0"/>
        <w:bidi w:val="0"/>
        <w:snapToGrid/>
        <w:spacing w:line="576" w:lineRule="exact"/>
        <w:rPr>
          <w:rFonts w:ascii="黑体" w:hAnsi="黑体" w:eastAsia="黑体"/>
          <w:sz w:val="32"/>
          <w:szCs w:val="32"/>
        </w:rPr>
      </w:pPr>
      <w:r>
        <w:rPr>
          <w:rFonts w:hint="eastAsia" w:ascii="黑体" w:hAnsi="黑体" w:eastAsia="黑体"/>
          <w:sz w:val="32"/>
          <w:szCs w:val="32"/>
        </w:rPr>
        <w:t>五、一般公共预算支出总体情况（按功能分类科目）</w:t>
      </w:r>
    </w:p>
    <w:p w14:paraId="6811711A">
      <w:pPr>
        <w:keepNext w:val="0"/>
        <w:keepLines w:val="0"/>
        <w:pageBreakBefore w:val="0"/>
        <w:kinsoku/>
        <w:wordWrap/>
        <w:overflowPunct/>
        <w:topLinePunct w:val="0"/>
        <w:bidi w:val="0"/>
        <w:snapToGrid/>
        <w:spacing w:line="576" w:lineRule="exact"/>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282D488D">
      <w:pPr>
        <w:keepNext w:val="0"/>
        <w:keepLines w:val="0"/>
        <w:pageBreakBefore w:val="0"/>
        <w:kinsoku/>
        <w:wordWrap/>
        <w:overflowPunct/>
        <w:topLinePunct w:val="0"/>
        <w:bidi w:val="0"/>
        <w:snapToGrid/>
        <w:spacing w:line="576" w:lineRule="exact"/>
        <w:rPr>
          <w:rFonts w:ascii="黑体" w:hAnsi="黑体" w:eastAsia="黑体"/>
          <w:sz w:val="32"/>
          <w:szCs w:val="32"/>
        </w:rPr>
      </w:pPr>
      <w:r>
        <w:rPr>
          <w:rFonts w:hint="eastAsia" w:ascii="黑体" w:hAnsi="黑体" w:eastAsia="黑体"/>
          <w:sz w:val="32"/>
          <w:szCs w:val="32"/>
        </w:rPr>
        <w:t>七、一般公共预算“三公”经费支出总体情况</w:t>
      </w:r>
    </w:p>
    <w:p w14:paraId="50A8D910">
      <w:pPr>
        <w:keepNext w:val="0"/>
        <w:keepLines w:val="0"/>
        <w:pageBreakBefore w:val="0"/>
        <w:kinsoku/>
        <w:wordWrap/>
        <w:overflowPunct/>
        <w:topLinePunct w:val="0"/>
        <w:bidi w:val="0"/>
        <w:snapToGrid/>
        <w:spacing w:line="576" w:lineRule="exact"/>
        <w:rPr>
          <w:rFonts w:ascii="黑体" w:hAnsi="黑体" w:eastAsia="黑体"/>
          <w:sz w:val="32"/>
          <w:szCs w:val="32"/>
        </w:rPr>
      </w:pPr>
      <w:r>
        <w:rPr>
          <w:rFonts w:hint="eastAsia" w:ascii="黑体" w:hAnsi="黑体" w:eastAsia="黑体"/>
          <w:sz w:val="32"/>
          <w:szCs w:val="32"/>
        </w:rPr>
        <w:t>八、政府性基金预算支出总体情况</w:t>
      </w:r>
    </w:p>
    <w:p w14:paraId="326BDEE6">
      <w:pPr>
        <w:keepNext w:val="0"/>
        <w:keepLines w:val="0"/>
        <w:pageBreakBefore w:val="0"/>
        <w:kinsoku/>
        <w:wordWrap/>
        <w:overflowPunct/>
        <w:topLinePunct w:val="0"/>
        <w:bidi w:val="0"/>
        <w:snapToGrid/>
        <w:spacing w:line="576" w:lineRule="exact"/>
        <w:rPr>
          <w:rFonts w:ascii="黑体" w:hAnsi="黑体" w:eastAsia="黑体"/>
          <w:sz w:val="32"/>
          <w:szCs w:val="32"/>
        </w:rPr>
      </w:pPr>
      <w:r>
        <w:rPr>
          <w:rFonts w:hint="eastAsia" w:ascii="黑体" w:hAnsi="黑体" w:eastAsia="黑体"/>
          <w:sz w:val="32"/>
          <w:szCs w:val="32"/>
        </w:rPr>
        <w:t>九、政府性基金“三公”经费支出总体情况</w:t>
      </w:r>
    </w:p>
    <w:p w14:paraId="3616FD1E">
      <w:pPr>
        <w:keepNext w:val="0"/>
        <w:keepLines w:val="0"/>
        <w:pageBreakBefore w:val="0"/>
        <w:kinsoku/>
        <w:wordWrap/>
        <w:overflowPunct/>
        <w:topLinePunct w:val="0"/>
        <w:bidi w:val="0"/>
        <w:snapToGrid/>
        <w:spacing w:line="576" w:lineRule="exact"/>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560F5728">
      <w:pPr>
        <w:keepNext w:val="0"/>
        <w:keepLines w:val="0"/>
        <w:pageBreakBefore w:val="0"/>
        <w:kinsoku/>
        <w:wordWrap/>
        <w:overflowPunct/>
        <w:topLinePunct w:val="0"/>
        <w:bidi w:val="0"/>
        <w:snapToGrid/>
        <w:spacing w:line="576" w:lineRule="exact"/>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14:paraId="7F888CE9">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414ADC69">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2F71869F">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3A65DC8F">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672F2556">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72C691D3">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3232C0D3">
      <w:pPr>
        <w:keepNext w:val="0"/>
        <w:keepLines w:val="0"/>
        <w:pageBreakBefore w:val="0"/>
        <w:kinsoku/>
        <w:wordWrap/>
        <w:overflowPunct/>
        <w:topLinePunct w:val="0"/>
        <w:bidi w:val="0"/>
        <w:snapToGrid/>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14:paraId="446CA38B">
      <w:pPr>
        <w:keepNext w:val="0"/>
        <w:keepLines w:val="0"/>
        <w:pageBreakBefore w:val="0"/>
        <w:kinsoku/>
        <w:wordWrap/>
        <w:overflowPunct/>
        <w:topLinePunct w:val="0"/>
        <w:bidi w:val="0"/>
        <w:snapToGrid/>
        <w:spacing w:line="576" w:lineRule="exact"/>
        <w:jc w:val="center"/>
        <w:rPr>
          <w:rFonts w:ascii="方正小标宋简体" w:hAnsi="仿宋" w:eastAsia="方正小标宋简体"/>
          <w:sz w:val="32"/>
          <w:szCs w:val="32"/>
        </w:rPr>
      </w:pPr>
    </w:p>
    <w:p w14:paraId="180C4ABE">
      <w:pPr>
        <w:keepNext w:val="0"/>
        <w:keepLines w:val="0"/>
        <w:pageBreakBefore w:val="0"/>
        <w:kinsoku/>
        <w:wordWrap/>
        <w:overflowPunct/>
        <w:topLinePunct w:val="0"/>
        <w:bidi w:val="0"/>
        <w:snapToGrid/>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墨脱县加热萨乡人民政府</w:t>
      </w:r>
      <w:r>
        <w:rPr>
          <w:rFonts w:hint="eastAsia" w:ascii="方正小标宋简体" w:hAnsi="仿宋" w:eastAsia="方正小标宋简体"/>
          <w:sz w:val="32"/>
          <w:szCs w:val="32"/>
        </w:rPr>
        <w:t>概况</w:t>
      </w:r>
    </w:p>
    <w:p w14:paraId="106E5917">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70C4BCB1">
      <w:pPr>
        <w:keepNext w:val="0"/>
        <w:keepLines w:val="0"/>
        <w:pageBreakBefore w:val="0"/>
        <w:kinsoku/>
        <w:wordWrap/>
        <w:overflowPunct/>
        <w:topLinePunct w:val="0"/>
        <w:bidi w:val="0"/>
        <w:snapToGrid/>
        <w:spacing w:line="576" w:lineRule="exact"/>
        <w:rPr>
          <w:rFonts w:ascii="黑体" w:hAnsi="黑体" w:eastAsia="黑体"/>
          <w:sz w:val="32"/>
          <w:szCs w:val="32"/>
        </w:rPr>
      </w:pPr>
      <w:r>
        <w:rPr>
          <w:rFonts w:hint="eastAsia" w:ascii="黑体" w:hAnsi="黑体" w:eastAsia="黑体"/>
          <w:sz w:val="32"/>
          <w:szCs w:val="32"/>
        </w:rPr>
        <w:t>一、主要职能</w:t>
      </w:r>
    </w:p>
    <w:p w14:paraId="6D55913C">
      <w:pPr>
        <w:keepNext w:val="0"/>
        <w:keepLines w:val="0"/>
        <w:pageBreakBefore w:val="0"/>
        <w:kinsoku/>
        <w:wordWrap/>
        <w:overflowPunct/>
        <w:topLinePunct w:val="0"/>
        <w:bidi w:val="0"/>
        <w:snapToGrid/>
        <w:spacing w:line="576" w:lineRule="exact"/>
        <w:ind w:firstLine="640" w:firstLineChars="200"/>
        <w:jc w:val="both"/>
        <w:rPr>
          <w:rFonts w:hint="eastAsia" w:ascii="仿宋" w:hAnsi="仿宋" w:eastAsia="仿宋_GB2312"/>
          <w:sz w:val="32"/>
          <w:szCs w:val="32"/>
          <w:lang w:val="en-US" w:eastAsia="zh-CN"/>
        </w:rPr>
      </w:pPr>
      <w:r>
        <w:rPr>
          <w:rFonts w:hint="eastAsia" w:ascii="仿宋" w:hAnsi="仿宋" w:eastAsia="仿宋_GB2312"/>
          <w:sz w:val="32"/>
          <w:szCs w:val="32"/>
          <w:lang w:val="en-US" w:eastAsia="zh-CN"/>
        </w:rPr>
        <w:t>1.加热萨乡党委主要职责：宣传和贯彻执行党的路线方针政策和党中央、上级党组织及本乡党员代表大会（党员大会）的决议；讨论和决定本乡党的建设、政治建设、经济建设、文化建设、社会建设、生态文明建设以及乡村振兴中的重大问题。需由乡政权机关或者集体经济组织决定的重要事项，经乡党委研究讨论后，由乡政权机关或者集体经济组织依照法律和有关规定作出决定；领导乡政权机关、群团组织和其他各类组织，加强指导和规范、支持和保证这些机关和组织依照国家法律法规以及各自章程履行职责；加强乡党委自身建设和村（社区）党组织建设，以及其他隶属乡党委的党组织建设，抓好发展党员工作，加强党员队伍建设。维护和执行党的纪律，监督党员干部和其他任何工作人员严格遵守国家法律法规；按照干部管理权限，协助负责干部的教育、培训、选拔、考核和监督工作。协助管理上级有关部门驻乡单位的干部。做好人才服务和引进工作；领导本乡的基层治理，加强社会主义民主法治建设和精神文明建设，加强社会治安综合治理，做好生态环保、美丽乡村建设、民生保障、脱贫致富、民族宗教等工作；办理上级党委交办的其他事项。</w:t>
      </w:r>
    </w:p>
    <w:p w14:paraId="656E8C4D">
      <w:pPr>
        <w:keepNext w:val="0"/>
        <w:keepLines w:val="0"/>
        <w:pageBreakBefore w:val="0"/>
        <w:kinsoku/>
        <w:wordWrap/>
        <w:overflowPunct/>
        <w:topLinePunct w:val="0"/>
        <w:bidi w:val="0"/>
        <w:snapToGrid/>
        <w:spacing w:line="576" w:lineRule="exact"/>
        <w:ind w:firstLine="640" w:firstLineChars="200"/>
        <w:jc w:val="both"/>
        <w:rPr>
          <w:rFonts w:hint="default" w:ascii="仿宋" w:hAnsi="仿宋" w:eastAsia="仿宋_GB2312"/>
          <w:sz w:val="32"/>
          <w:szCs w:val="32"/>
          <w:lang w:val="en-US" w:eastAsia="zh-CN"/>
        </w:rPr>
      </w:pPr>
      <w:r>
        <w:rPr>
          <w:rFonts w:hint="eastAsia" w:ascii="仿宋" w:hAnsi="仿宋" w:eastAsia="仿宋_GB2312"/>
          <w:sz w:val="32"/>
          <w:szCs w:val="32"/>
          <w:lang w:val="en-US" w:eastAsia="zh-CN"/>
        </w:rPr>
        <w:t>2.加热萨乡政府主要职责：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保护社会主义的全民所有的财产和劳动群众集体所有的财产，保护公民私人所有的合法财产，维护社会秩序，保障公民的人身权利、民主权利和其他权利；保护各种经济组织的合法权益；保障少数民族的权利和尊重少数民族的风俗习惯；保障宪法和法律赋予妇女的男女平等、同工同酬和婚姻自由等各项权利；办理上级人民政府交办的其他事项。</w:t>
      </w:r>
    </w:p>
    <w:p w14:paraId="1E57F1A2">
      <w:pPr>
        <w:keepNext w:val="0"/>
        <w:keepLines w:val="0"/>
        <w:pageBreakBefore w:val="0"/>
        <w:kinsoku/>
        <w:wordWrap/>
        <w:overflowPunct/>
        <w:topLinePunct w:val="0"/>
        <w:bidi w:val="0"/>
        <w:snapToGrid/>
        <w:spacing w:line="576" w:lineRule="exact"/>
        <w:jc w:val="both"/>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14:paraId="6CE0AB06">
      <w:pPr>
        <w:keepNext w:val="0"/>
        <w:keepLines w:val="0"/>
        <w:pageBreakBefore w:val="0"/>
        <w:kinsoku/>
        <w:wordWrap/>
        <w:overflowPunct/>
        <w:topLinePunct w:val="0"/>
        <w:bidi w:val="0"/>
        <w:snapToGrid/>
        <w:spacing w:line="576" w:lineRule="exact"/>
        <w:ind w:firstLine="640" w:firstLineChars="200"/>
        <w:jc w:val="both"/>
        <w:rPr>
          <w:rFonts w:hint="default" w:ascii="仿宋" w:hAnsi="仿宋" w:eastAsia="仿宋_GB2312"/>
          <w:sz w:val="32"/>
          <w:szCs w:val="32"/>
          <w:lang w:val="en-US"/>
        </w:rPr>
      </w:pPr>
      <w:r>
        <w:rPr>
          <w:rFonts w:hint="eastAsia" w:ascii="仿宋" w:hAnsi="仿宋" w:eastAsia="仿宋_GB2312"/>
          <w:sz w:val="32"/>
          <w:szCs w:val="32"/>
          <w:lang w:val="en-US" w:eastAsia="zh-CN"/>
        </w:rPr>
        <w:t>加热萨乡党委、加热萨乡政府严格按照上级要求，执行“定机构、定职能、定编制”工作。加热萨乡党委、加热萨乡政府下设内设机构5个党政机构：党政综合办公室（财政所）、经济发展办公室、平安建设办公室（应急管理办公室）、综合行政执法办公室、生态环境和自然资源办公室，下设4个事业单位分别为：便民服务中心（退役军人服务站）、农牧综合服务中心、文化服务中心、卫生院。</w:t>
      </w:r>
    </w:p>
    <w:p w14:paraId="0079E139">
      <w:pPr>
        <w:keepNext w:val="0"/>
        <w:keepLines w:val="0"/>
        <w:pageBreakBefore w:val="0"/>
        <w:kinsoku/>
        <w:wordWrap/>
        <w:overflowPunct/>
        <w:topLinePunct w:val="0"/>
        <w:bidi w:val="0"/>
        <w:snapToGrid/>
        <w:spacing w:line="576" w:lineRule="exact"/>
        <w:jc w:val="both"/>
        <w:rPr>
          <w:rFonts w:ascii="仿宋" w:hAnsi="仿宋" w:eastAsia="仿宋_GB2312"/>
          <w:sz w:val="32"/>
          <w:szCs w:val="32"/>
        </w:rPr>
      </w:pPr>
    </w:p>
    <w:p w14:paraId="2FA5F3C6">
      <w:pPr>
        <w:keepNext w:val="0"/>
        <w:keepLines w:val="0"/>
        <w:pageBreakBefore w:val="0"/>
        <w:kinsoku/>
        <w:wordWrap/>
        <w:overflowPunct/>
        <w:topLinePunct w:val="0"/>
        <w:bidi w:val="0"/>
        <w:snapToGrid/>
        <w:spacing w:line="576" w:lineRule="exact"/>
        <w:jc w:val="both"/>
        <w:rPr>
          <w:rFonts w:ascii="仿宋" w:hAnsi="仿宋" w:eastAsia="仿宋_GB2312"/>
          <w:sz w:val="32"/>
          <w:szCs w:val="32"/>
        </w:rPr>
      </w:pPr>
    </w:p>
    <w:p w14:paraId="1ACF7BB6">
      <w:pPr>
        <w:keepNext w:val="0"/>
        <w:keepLines w:val="0"/>
        <w:pageBreakBefore w:val="0"/>
        <w:kinsoku/>
        <w:wordWrap/>
        <w:overflowPunct/>
        <w:topLinePunct w:val="0"/>
        <w:bidi w:val="0"/>
        <w:snapToGrid/>
        <w:spacing w:line="576" w:lineRule="exact"/>
        <w:jc w:val="both"/>
        <w:rPr>
          <w:rFonts w:ascii="仿宋" w:hAnsi="仿宋" w:eastAsia="仿宋_GB2312"/>
          <w:sz w:val="32"/>
          <w:szCs w:val="32"/>
        </w:rPr>
      </w:pPr>
    </w:p>
    <w:p w14:paraId="5BA8D11E">
      <w:pPr>
        <w:keepNext w:val="0"/>
        <w:keepLines w:val="0"/>
        <w:pageBreakBefore w:val="0"/>
        <w:kinsoku/>
        <w:wordWrap/>
        <w:overflowPunct/>
        <w:topLinePunct w:val="0"/>
        <w:bidi w:val="0"/>
        <w:snapToGrid/>
        <w:spacing w:line="576" w:lineRule="exact"/>
        <w:jc w:val="both"/>
        <w:rPr>
          <w:rFonts w:ascii="仿宋" w:hAnsi="仿宋" w:eastAsia="仿宋_GB2312"/>
          <w:sz w:val="32"/>
          <w:szCs w:val="32"/>
        </w:rPr>
      </w:pPr>
    </w:p>
    <w:p w14:paraId="2D37DF11">
      <w:pPr>
        <w:keepNext w:val="0"/>
        <w:keepLines w:val="0"/>
        <w:pageBreakBefore w:val="0"/>
        <w:kinsoku/>
        <w:wordWrap/>
        <w:overflowPunct/>
        <w:topLinePunct w:val="0"/>
        <w:bidi w:val="0"/>
        <w:snapToGrid/>
        <w:spacing w:line="576" w:lineRule="exact"/>
        <w:jc w:val="both"/>
        <w:rPr>
          <w:rFonts w:ascii="仿宋" w:hAnsi="仿宋" w:eastAsia="仿宋_GB2312"/>
          <w:sz w:val="32"/>
          <w:szCs w:val="32"/>
        </w:rPr>
      </w:pPr>
    </w:p>
    <w:p w14:paraId="4227E71D">
      <w:pPr>
        <w:keepNext w:val="0"/>
        <w:keepLines w:val="0"/>
        <w:pageBreakBefore w:val="0"/>
        <w:kinsoku/>
        <w:wordWrap/>
        <w:overflowPunct/>
        <w:topLinePunct w:val="0"/>
        <w:bidi w:val="0"/>
        <w:snapToGrid/>
        <w:spacing w:line="576" w:lineRule="exact"/>
        <w:jc w:val="both"/>
        <w:rPr>
          <w:rFonts w:ascii="仿宋" w:hAnsi="仿宋" w:eastAsia="仿宋_GB2312"/>
          <w:sz w:val="32"/>
          <w:szCs w:val="32"/>
        </w:rPr>
      </w:pPr>
    </w:p>
    <w:p w14:paraId="2DF7021E">
      <w:pPr>
        <w:keepNext w:val="0"/>
        <w:keepLines w:val="0"/>
        <w:pageBreakBefore w:val="0"/>
        <w:kinsoku/>
        <w:wordWrap/>
        <w:overflowPunct/>
        <w:topLinePunct w:val="0"/>
        <w:bidi w:val="0"/>
        <w:snapToGrid/>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14:paraId="44F48290">
      <w:pPr>
        <w:keepNext w:val="0"/>
        <w:keepLines w:val="0"/>
        <w:pageBreakBefore w:val="0"/>
        <w:kinsoku/>
        <w:wordWrap/>
        <w:overflowPunct/>
        <w:topLinePunct w:val="0"/>
        <w:bidi w:val="0"/>
        <w:snapToGrid/>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加热萨乡人民政府</w:t>
      </w:r>
      <w:r>
        <w:rPr>
          <w:rFonts w:hint="eastAsia" w:ascii="方正小标宋简体" w:hAnsi="仿宋" w:eastAsia="方正小标宋简体"/>
          <w:sz w:val="32"/>
          <w:szCs w:val="32"/>
          <w:lang w:eastAsia="zh-CN"/>
        </w:rPr>
        <w:t>2025</w:t>
      </w:r>
      <w:r>
        <w:rPr>
          <w:rFonts w:hint="eastAsia" w:ascii="方正小标宋简体" w:hAnsi="仿宋" w:eastAsia="方正小标宋简体"/>
          <w:sz w:val="32"/>
          <w:szCs w:val="32"/>
        </w:rPr>
        <w:t>年度预算明细表</w:t>
      </w:r>
    </w:p>
    <w:p w14:paraId="4C0E742A">
      <w:pPr>
        <w:keepNext w:val="0"/>
        <w:keepLines w:val="0"/>
        <w:pageBreakBefore w:val="0"/>
        <w:kinsoku/>
        <w:wordWrap/>
        <w:overflowPunct/>
        <w:topLinePunct w:val="0"/>
        <w:bidi w:val="0"/>
        <w:snapToGrid/>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14:paraId="1DED49CC">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2F93F260">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5029D12E">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0E6FCB71">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3D7C6204">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6DF11C00">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655FD18E">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2E09B53A">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5D3330AF">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037D17F2">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45A76018">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54B57A49">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5E2AD73D">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268552FB">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3CFD5EC6">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58EE4FD0">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6F7705A6">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0ABCCC82">
      <w:pPr>
        <w:keepNext w:val="0"/>
        <w:keepLines w:val="0"/>
        <w:pageBreakBefore w:val="0"/>
        <w:kinsoku/>
        <w:wordWrap/>
        <w:overflowPunct/>
        <w:topLinePunct w:val="0"/>
        <w:bidi w:val="0"/>
        <w:snapToGrid/>
        <w:spacing w:line="576" w:lineRule="exact"/>
        <w:jc w:val="center"/>
        <w:rPr>
          <w:rFonts w:ascii="黑体" w:hAnsi="黑体" w:eastAsia="黑体"/>
          <w:sz w:val="32"/>
          <w:szCs w:val="32"/>
        </w:rPr>
      </w:pPr>
    </w:p>
    <w:p w14:paraId="2A0504B8">
      <w:pPr>
        <w:keepNext w:val="0"/>
        <w:keepLines w:val="0"/>
        <w:pageBreakBefore w:val="0"/>
        <w:kinsoku/>
        <w:wordWrap/>
        <w:overflowPunct/>
        <w:topLinePunct w:val="0"/>
        <w:bidi w:val="0"/>
        <w:snapToGrid/>
        <w:spacing w:line="576" w:lineRule="exact"/>
        <w:jc w:val="center"/>
        <w:rPr>
          <w:rFonts w:ascii="黑体" w:hAnsi="黑体" w:eastAsia="黑体"/>
          <w:sz w:val="32"/>
          <w:szCs w:val="32"/>
        </w:rPr>
      </w:pPr>
    </w:p>
    <w:p w14:paraId="78AA0982">
      <w:pPr>
        <w:keepNext w:val="0"/>
        <w:keepLines w:val="0"/>
        <w:pageBreakBefore w:val="0"/>
        <w:kinsoku/>
        <w:wordWrap/>
        <w:overflowPunct/>
        <w:topLinePunct w:val="0"/>
        <w:bidi w:val="0"/>
        <w:snapToGrid/>
        <w:spacing w:line="576" w:lineRule="exact"/>
        <w:jc w:val="center"/>
        <w:rPr>
          <w:rFonts w:hint="eastAsia" w:ascii="黑体" w:hAnsi="黑体" w:eastAsia="黑体"/>
          <w:sz w:val="32"/>
          <w:szCs w:val="32"/>
        </w:rPr>
      </w:pPr>
    </w:p>
    <w:p w14:paraId="3F6C16EF">
      <w:pPr>
        <w:keepNext w:val="0"/>
        <w:keepLines w:val="0"/>
        <w:pageBreakBefore w:val="0"/>
        <w:kinsoku/>
        <w:wordWrap/>
        <w:overflowPunct/>
        <w:topLinePunct w:val="0"/>
        <w:bidi w:val="0"/>
        <w:snapToGrid/>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14:paraId="1E115EDE">
      <w:pPr>
        <w:keepNext w:val="0"/>
        <w:keepLines w:val="0"/>
        <w:pageBreakBefore w:val="0"/>
        <w:kinsoku/>
        <w:wordWrap/>
        <w:overflowPunct/>
        <w:topLinePunct w:val="0"/>
        <w:bidi w:val="0"/>
        <w:snapToGrid/>
        <w:spacing w:line="576" w:lineRule="exact"/>
        <w:jc w:val="center"/>
        <w:rPr>
          <w:rFonts w:ascii="方正小标宋简体" w:hAnsi="仿宋" w:eastAsia="方正小标宋简体"/>
          <w:sz w:val="32"/>
          <w:szCs w:val="32"/>
        </w:rPr>
      </w:pPr>
    </w:p>
    <w:p w14:paraId="438B1366">
      <w:pPr>
        <w:keepNext w:val="0"/>
        <w:keepLines w:val="0"/>
        <w:pageBreakBefore w:val="0"/>
        <w:kinsoku/>
        <w:wordWrap/>
        <w:overflowPunct/>
        <w:topLinePunct w:val="0"/>
        <w:bidi w:val="0"/>
        <w:snapToGrid/>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加热萨乡人民政府</w:t>
      </w:r>
      <w:r>
        <w:rPr>
          <w:rFonts w:hint="eastAsia" w:ascii="方正小标宋简体" w:hAnsi="仿宋" w:eastAsia="方正小标宋简体"/>
          <w:sz w:val="32"/>
          <w:szCs w:val="32"/>
          <w:lang w:eastAsia="zh-CN"/>
        </w:rPr>
        <w:t>2025</w:t>
      </w:r>
      <w:r>
        <w:rPr>
          <w:rFonts w:hint="eastAsia" w:ascii="方正小标宋简体" w:hAnsi="仿宋" w:eastAsia="方正小标宋简体"/>
          <w:sz w:val="32"/>
          <w:szCs w:val="32"/>
        </w:rPr>
        <w:t>年度部门（单位）预算数据分析</w:t>
      </w:r>
    </w:p>
    <w:p w14:paraId="2F51DBEF">
      <w:pPr>
        <w:keepNext w:val="0"/>
        <w:keepLines w:val="0"/>
        <w:pageBreakBefore w:val="0"/>
        <w:kinsoku/>
        <w:wordWrap/>
        <w:overflowPunct/>
        <w:topLinePunct w:val="0"/>
        <w:bidi w:val="0"/>
        <w:snapToGrid/>
        <w:spacing w:line="576" w:lineRule="exact"/>
        <w:jc w:val="center"/>
        <w:rPr>
          <w:rFonts w:ascii="黑体" w:hAnsi="黑体" w:eastAsia="黑体"/>
          <w:sz w:val="32"/>
          <w:szCs w:val="32"/>
        </w:rPr>
      </w:pPr>
    </w:p>
    <w:p w14:paraId="18B841D3">
      <w:pPr>
        <w:keepNext w:val="0"/>
        <w:keepLines w:val="0"/>
        <w:pageBreakBefore w:val="0"/>
        <w:kinsoku/>
        <w:wordWrap/>
        <w:overflowPunct/>
        <w:topLinePunct w:val="0"/>
        <w:bidi w:val="0"/>
        <w:snapToGrid/>
        <w:spacing w:line="576" w:lineRule="exact"/>
        <w:ind w:firstLine="640" w:firstLineChars="200"/>
        <w:rPr>
          <w:rFonts w:ascii="黑体" w:hAnsi="黑体" w:eastAsia="黑体"/>
          <w:sz w:val="32"/>
          <w:szCs w:val="32"/>
        </w:rPr>
      </w:pPr>
      <w:r>
        <w:rPr>
          <w:rFonts w:hint="eastAsia" w:ascii="黑体" w:hAnsi="黑体" w:eastAsia="黑体"/>
          <w:sz w:val="32"/>
          <w:szCs w:val="32"/>
        </w:rPr>
        <w:t>一、部门（单位）收支总体情况</w:t>
      </w:r>
    </w:p>
    <w:p w14:paraId="3ACE4DB3">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r>
        <w:rPr>
          <w:rFonts w:hint="eastAsia" w:ascii="仿宋" w:hAnsi="仿宋" w:eastAsia="仿宋_GB2312"/>
          <w:sz w:val="32"/>
          <w:szCs w:val="32"/>
        </w:rPr>
        <w:t>收支总预算</w:t>
      </w:r>
      <w:r>
        <w:rPr>
          <w:rFonts w:hint="eastAsia" w:ascii="仿宋" w:hAnsi="仿宋" w:eastAsia="仿宋_GB2312"/>
          <w:sz w:val="32"/>
          <w:szCs w:val="32"/>
          <w:u w:val="single"/>
          <w:lang w:val="en-US" w:eastAsia="zh-CN"/>
        </w:rPr>
        <w:t>2071.17</w:t>
      </w:r>
      <w:r>
        <w:rPr>
          <w:rFonts w:hint="eastAsia" w:ascii="仿宋" w:hAnsi="仿宋" w:eastAsia="仿宋_GB2312"/>
          <w:sz w:val="32"/>
          <w:szCs w:val="32"/>
        </w:rPr>
        <w:t>万元。收入包括：一般公共预算拨款收入、政府性</w:t>
      </w:r>
      <w:r>
        <w:rPr>
          <w:rFonts w:ascii="仿宋" w:hAnsi="仿宋" w:eastAsia="仿宋_GB2312"/>
          <w:sz w:val="32"/>
          <w:szCs w:val="32"/>
        </w:rPr>
        <w:t>基金拨款收入</w:t>
      </w:r>
      <w:r>
        <w:rPr>
          <w:rFonts w:hint="eastAsia" w:ascii="仿宋" w:hAnsi="仿宋" w:eastAsia="仿宋_GB2312"/>
          <w:sz w:val="32"/>
          <w:szCs w:val="32"/>
          <w:lang w:eastAsia="zh-CN"/>
        </w:rPr>
        <w:t>、</w:t>
      </w:r>
      <w:r>
        <w:rPr>
          <w:rFonts w:hint="eastAsia" w:ascii="仿宋" w:hAnsi="仿宋" w:eastAsia="仿宋_GB2312"/>
          <w:sz w:val="32"/>
          <w:szCs w:val="32"/>
        </w:rPr>
        <w:t>上年结转</w:t>
      </w:r>
      <w:r>
        <w:rPr>
          <w:rFonts w:hint="eastAsia" w:ascii="仿宋" w:hAnsi="仿宋" w:eastAsia="仿宋_GB2312"/>
          <w:sz w:val="32"/>
          <w:szCs w:val="32"/>
          <w:lang w:val="en-US" w:eastAsia="zh-CN"/>
        </w:rPr>
        <w:t>结余</w:t>
      </w:r>
      <w:r>
        <w:rPr>
          <w:rFonts w:hint="eastAsia" w:ascii="仿宋" w:hAnsi="仿宋" w:eastAsia="仿宋_GB2312"/>
          <w:sz w:val="32"/>
          <w:szCs w:val="32"/>
        </w:rPr>
        <w:t>；支出包括：一般公共服务支出、</w:t>
      </w:r>
      <w:r>
        <w:rPr>
          <w:rFonts w:hint="eastAsia" w:ascii="仿宋" w:hAnsi="仿宋" w:eastAsia="仿宋_GB2312"/>
          <w:sz w:val="32"/>
          <w:szCs w:val="32"/>
          <w:lang w:val="en-US" w:eastAsia="zh-CN"/>
        </w:rPr>
        <w:t>国防支出、</w:t>
      </w:r>
      <w:r>
        <w:rPr>
          <w:rFonts w:hint="eastAsia" w:ascii="仿宋" w:hAnsi="仿宋" w:eastAsia="仿宋_GB2312"/>
          <w:sz w:val="32"/>
          <w:szCs w:val="32"/>
        </w:rPr>
        <w:t>文化旅游体育与传媒支出、社会保障和就业支出、卫生健康支出、</w:t>
      </w:r>
      <w:r>
        <w:rPr>
          <w:rFonts w:hint="eastAsia" w:ascii="仿宋" w:hAnsi="仿宋" w:eastAsia="仿宋_GB2312"/>
          <w:sz w:val="32"/>
          <w:szCs w:val="32"/>
          <w:lang w:val="en-US" w:eastAsia="zh-CN"/>
        </w:rPr>
        <w:t>节能环保支出、农林水支出、</w:t>
      </w:r>
      <w:r>
        <w:rPr>
          <w:rFonts w:hint="eastAsia" w:ascii="仿宋" w:hAnsi="仿宋" w:eastAsia="仿宋_GB2312"/>
          <w:sz w:val="32"/>
          <w:szCs w:val="32"/>
        </w:rPr>
        <w:t>住房保障支出</w:t>
      </w:r>
      <w:r>
        <w:rPr>
          <w:rFonts w:hint="eastAsia" w:ascii="仿宋" w:hAnsi="仿宋" w:eastAsia="仿宋_GB2312"/>
          <w:sz w:val="32"/>
          <w:szCs w:val="32"/>
          <w:lang w:eastAsia="zh-CN"/>
        </w:rPr>
        <w:t>、</w:t>
      </w:r>
      <w:r>
        <w:rPr>
          <w:rFonts w:hint="eastAsia" w:ascii="仿宋" w:hAnsi="仿宋" w:eastAsia="仿宋_GB2312"/>
          <w:sz w:val="32"/>
          <w:szCs w:val="32"/>
          <w:lang w:val="en-US" w:eastAsia="zh-CN"/>
        </w:rPr>
        <w:t>其他支出</w:t>
      </w:r>
      <w:r>
        <w:rPr>
          <w:rFonts w:hint="eastAsia" w:ascii="仿宋" w:hAnsi="仿宋" w:eastAsia="仿宋_GB2312"/>
          <w:sz w:val="32"/>
          <w:szCs w:val="32"/>
        </w:rPr>
        <w:t>。</w:t>
      </w:r>
    </w:p>
    <w:p w14:paraId="64705D1B">
      <w:pPr>
        <w:keepNext w:val="0"/>
        <w:keepLines w:val="0"/>
        <w:pageBreakBefore w:val="0"/>
        <w:kinsoku/>
        <w:wordWrap/>
        <w:overflowPunct/>
        <w:topLinePunct w:val="0"/>
        <w:bidi w:val="0"/>
        <w:snapToGrid/>
        <w:spacing w:line="576" w:lineRule="exact"/>
        <w:ind w:firstLine="640" w:firstLineChars="200"/>
        <w:rPr>
          <w:rFonts w:ascii="黑体" w:hAnsi="黑体" w:eastAsia="黑体"/>
          <w:sz w:val="32"/>
          <w:szCs w:val="32"/>
        </w:rPr>
      </w:pPr>
      <w:r>
        <w:rPr>
          <w:rFonts w:hint="eastAsia" w:ascii="黑体" w:hAnsi="黑体" w:eastAsia="黑体"/>
          <w:sz w:val="32"/>
          <w:szCs w:val="32"/>
        </w:rPr>
        <w:t>二、部门（单位）收入总体情况</w:t>
      </w:r>
    </w:p>
    <w:p w14:paraId="5E45C974">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r>
        <w:rPr>
          <w:rFonts w:hint="eastAsia" w:ascii="仿宋" w:hAnsi="仿宋" w:eastAsia="仿宋_GB2312"/>
          <w:sz w:val="32"/>
          <w:szCs w:val="32"/>
        </w:rPr>
        <w:t>收入预算总量</w:t>
      </w:r>
      <w:r>
        <w:rPr>
          <w:rFonts w:hint="eastAsia" w:ascii="仿宋" w:hAnsi="仿宋" w:eastAsia="仿宋_GB2312"/>
          <w:sz w:val="32"/>
          <w:szCs w:val="32"/>
          <w:u w:val="single"/>
          <w:lang w:val="en-US" w:eastAsia="zh-CN"/>
        </w:rPr>
        <w:t>2071.17</w:t>
      </w:r>
      <w:r>
        <w:rPr>
          <w:rFonts w:hint="eastAsia" w:ascii="仿宋" w:hAnsi="仿宋" w:eastAsia="仿宋_GB2312"/>
          <w:sz w:val="32"/>
          <w:szCs w:val="32"/>
        </w:rPr>
        <w:t>万元，同比增加</w:t>
      </w:r>
      <w:r>
        <w:rPr>
          <w:rFonts w:hint="eastAsia" w:ascii="仿宋" w:hAnsi="仿宋" w:eastAsia="仿宋_GB2312"/>
          <w:sz w:val="32"/>
          <w:szCs w:val="32"/>
          <w:u w:val="single"/>
          <w:lang w:val="en-US" w:eastAsia="zh-CN"/>
        </w:rPr>
        <w:t xml:space="preserve">332.93 </w:t>
      </w:r>
      <w:r>
        <w:rPr>
          <w:rFonts w:hint="eastAsia" w:ascii="仿宋" w:hAnsi="仿宋" w:eastAsia="仿宋_GB2312"/>
          <w:sz w:val="32"/>
          <w:szCs w:val="32"/>
        </w:rPr>
        <w:t>万元，主要</w:t>
      </w:r>
      <w:r>
        <w:rPr>
          <w:rFonts w:ascii="仿宋" w:hAnsi="仿宋" w:eastAsia="仿宋_GB2312"/>
          <w:sz w:val="32"/>
          <w:szCs w:val="32"/>
        </w:rPr>
        <w:t>原因是：</w:t>
      </w:r>
      <w:r>
        <w:rPr>
          <w:rFonts w:hint="eastAsia" w:ascii="仿宋" w:hAnsi="仿宋" w:eastAsia="仿宋_GB2312"/>
          <w:sz w:val="32"/>
          <w:szCs w:val="32"/>
          <w:u w:val="single"/>
          <w:lang w:val="en-US" w:eastAsia="zh-CN"/>
        </w:rPr>
        <w:t>一般上年结转资金、建设项目增加、一般公共服务支出有所增加</w:t>
      </w:r>
      <w:r>
        <w:rPr>
          <w:rFonts w:hint="eastAsia" w:ascii="仿宋" w:hAnsi="仿宋" w:eastAsia="仿宋_GB2312"/>
          <w:sz w:val="32"/>
          <w:szCs w:val="32"/>
        </w:rPr>
        <w:t>。其中：上年结转</w:t>
      </w:r>
      <w:r>
        <w:rPr>
          <w:rFonts w:hint="eastAsia" w:ascii="仿宋" w:hAnsi="仿宋" w:eastAsia="仿宋_GB2312"/>
          <w:sz w:val="32"/>
          <w:szCs w:val="32"/>
          <w:u w:val="single"/>
          <w:lang w:val="en-US" w:eastAsia="zh-CN"/>
        </w:rPr>
        <w:t>168.09</w:t>
      </w:r>
      <w:r>
        <w:rPr>
          <w:rFonts w:hint="eastAsia" w:ascii="仿宋" w:hAnsi="仿宋" w:eastAsia="仿宋_GB2312"/>
          <w:sz w:val="32"/>
          <w:szCs w:val="32"/>
          <w:u w:val="single"/>
        </w:rPr>
        <w:t xml:space="preserve"> </w:t>
      </w:r>
      <w:r>
        <w:rPr>
          <w:rFonts w:hint="eastAsia" w:ascii="仿宋" w:hAnsi="仿宋" w:eastAsia="仿宋_GB2312"/>
          <w:sz w:val="32"/>
          <w:szCs w:val="32"/>
        </w:rPr>
        <w:t>万元， 占</w:t>
      </w:r>
      <w:r>
        <w:rPr>
          <w:rFonts w:hint="eastAsia" w:ascii="仿宋" w:hAnsi="仿宋" w:eastAsia="仿宋_GB2312"/>
          <w:sz w:val="32"/>
          <w:szCs w:val="32"/>
          <w:u w:val="single"/>
          <w:lang w:val="en-US" w:eastAsia="zh-CN"/>
        </w:rPr>
        <w:t>8.12</w:t>
      </w:r>
      <w:r>
        <w:rPr>
          <w:rFonts w:hint="eastAsia" w:ascii="仿宋" w:hAnsi="仿宋" w:eastAsia="仿宋_GB2312"/>
          <w:sz w:val="32"/>
          <w:szCs w:val="32"/>
          <w:u w:val="single"/>
        </w:rPr>
        <w:t xml:space="preserve"> </w:t>
      </w:r>
      <w:r>
        <w:rPr>
          <w:rFonts w:hint="eastAsia" w:ascii="仿宋" w:hAnsi="仿宋" w:eastAsia="仿宋_GB2312"/>
          <w:sz w:val="32"/>
          <w:szCs w:val="32"/>
        </w:rPr>
        <w:t>%；</w:t>
      </w:r>
      <w:r>
        <w:rPr>
          <w:rFonts w:hint="eastAsia" w:ascii="仿宋" w:hAnsi="仿宋" w:eastAsia="仿宋_GB2312"/>
          <w:sz w:val="32"/>
          <w:szCs w:val="32"/>
          <w:lang w:eastAsia="zh-CN"/>
        </w:rPr>
        <w:t>2025</w:t>
      </w:r>
      <w:r>
        <w:rPr>
          <w:rFonts w:hint="eastAsia" w:ascii="仿宋" w:hAnsi="仿宋" w:eastAsia="仿宋_GB2312"/>
          <w:sz w:val="32"/>
          <w:szCs w:val="32"/>
        </w:rPr>
        <w:t>年一般公共预算拨款收入</w:t>
      </w:r>
      <w:r>
        <w:rPr>
          <w:rFonts w:hint="eastAsia" w:ascii="仿宋" w:hAnsi="仿宋" w:eastAsia="仿宋_GB2312"/>
          <w:sz w:val="32"/>
          <w:szCs w:val="32"/>
          <w:u w:val="single"/>
          <w:lang w:val="en-US" w:eastAsia="zh-CN"/>
        </w:rPr>
        <w:t>1743.08</w:t>
      </w:r>
      <w:r>
        <w:rPr>
          <w:rFonts w:hint="eastAsia" w:ascii="仿宋" w:hAnsi="仿宋" w:eastAsia="仿宋_GB2312"/>
          <w:sz w:val="32"/>
          <w:szCs w:val="32"/>
          <w:u w:val="single"/>
        </w:rPr>
        <w:t xml:space="preserve"> </w:t>
      </w:r>
      <w:r>
        <w:rPr>
          <w:rFonts w:hint="eastAsia" w:ascii="仿宋" w:hAnsi="仿宋" w:eastAsia="仿宋_GB2312"/>
          <w:sz w:val="32"/>
          <w:szCs w:val="32"/>
        </w:rPr>
        <w:t>万元，占</w:t>
      </w:r>
      <w:r>
        <w:rPr>
          <w:rFonts w:hint="eastAsia" w:ascii="仿宋" w:hAnsi="仿宋" w:eastAsia="仿宋_GB2312"/>
          <w:sz w:val="32"/>
          <w:szCs w:val="32"/>
          <w:u w:val="single"/>
          <w:lang w:val="en-US" w:eastAsia="zh-CN"/>
        </w:rPr>
        <w:t>84.16</w:t>
      </w:r>
      <w:r>
        <w:rPr>
          <w:rFonts w:hint="eastAsia" w:ascii="仿宋" w:hAnsi="仿宋" w:eastAsia="仿宋_GB2312"/>
          <w:sz w:val="32"/>
          <w:szCs w:val="32"/>
          <w:u w:val="single"/>
        </w:rPr>
        <w:t xml:space="preserve"> </w:t>
      </w:r>
      <w:r>
        <w:rPr>
          <w:rFonts w:hint="eastAsia" w:ascii="仿宋" w:hAnsi="仿宋" w:eastAsia="仿宋_GB2312"/>
          <w:sz w:val="32"/>
          <w:szCs w:val="32"/>
        </w:rPr>
        <w:t xml:space="preserve"> %；</w:t>
      </w:r>
      <w:r>
        <w:rPr>
          <w:rFonts w:hint="eastAsia" w:ascii="仿宋" w:hAnsi="仿宋" w:eastAsia="仿宋_GB2312"/>
          <w:sz w:val="32"/>
          <w:szCs w:val="32"/>
          <w:lang w:eastAsia="zh-CN"/>
        </w:rPr>
        <w:t>2025</w:t>
      </w:r>
      <w:r>
        <w:rPr>
          <w:rFonts w:hint="eastAsia" w:ascii="仿宋" w:hAnsi="仿宋" w:eastAsia="仿宋_GB2312"/>
          <w:sz w:val="32"/>
          <w:szCs w:val="32"/>
        </w:rPr>
        <w:t>年政府性基金</w:t>
      </w:r>
      <w:r>
        <w:rPr>
          <w:rFonts w:ascii="仿宋" w:hAnsi="仿宋" w:eastAsia="仿宋_GB2312"/>
          <w:sz w:val="32"/>
          <w:szCs w:val="32"/>
        </w:rPr>
        <w:t>预算</w:t>
      </w:r>
      <w:r>
        <w:rPr>
          <w:rFonts w:hint="eastAsia" w:ascii="仿宋" w:hAnsi="仿宋" w:eastAsia="仿宋_GB2312"/>
          <w:sz w:val="32"/>
          <w:szCs w:val="32"/>
        </w:rPr>
        <w:t>拨款收入</w:t>
      </w:r>
      <w:r>
        <w:rPr>
          <w:rFonts w:hint="eastAsia" w:ascii="仿宋" w:hAnsi="仿宋" w:eastAsia="仿宋_GB2312"/>
          <w:sz w:val="32"/>
          <w:szCs w:val="32"/>
          <w:u w:val="single"/>
        </w:rPr>
        <w:t xml:space="preserve"> </w:t>
      </w:r>
      <w:r>
        <w:rPr>
          <w:rFonts w:hint="eastAsia" w:ascii="仿宋" w:hAnsi="仿宋" w:eastAsia="仿宋_GB2312"/>
          <w:sz w:val="32"/>
          <w:szCs w:val="32"/>
          <w:u w:val="single"/>
          <w:lang w:val="en-US" w:eastAsia="zh-CN"/>
        </w:rPr>
        <w:t>160</w:t>
      </w:r>
      <w:r>
        <w:rPr>
          <w:rFonts w:hint="eastAsia" w:ascii="仿宋" w:hAnsi="仿宋" w:eastAsia="仿宋_GB2312"/>
          <w:sz w:val="32"/>
          <w:szCs w:val="32"/>
        </w:rPr>
        <w:t>万元，占</w:t>
      </w:r>
      <w:r>
        <w:rPr>
          <w:rFonts w:hint="eastAsia" w:ascii="仿宋" w:hAnsi="仿宋" w:eastAsia="仿宋_GB2312"/>
          <w:sz w:val="32"/>
          <w:szCs w:val="32"/>
          <w:u w:val="single"/>
          <w:lang w:val="en-US" w:eastAsia="zh-CN"/>
        </w:rPr>
        <w:t>7.72</w:t>
      </w:r>
      <w:r>
        <w:rPr>
          <w:rFonts w:hint="eastAsia" w:ascii="仿宋" w:hAnsi="仿宋" w:eastAsia="仿宋_GB2312"/>
          <w:sz w:val="32"/>
          <w:szCs w:val="32"/>
          <w:u w:val="single"/>
        </w:rPr>
        <w:t xml:space="preserve"> </w:t>
      </w:r>
      <w:r>
        <w:rPr>
          <w:rFonts w:hint="eastAsia" w:ascii="仿宋" w:hAnsi="仿宋" w:eastAsia="仿宋_GB2312"/>
          <w:sz w:val="32"/>
          <w:szCs w:val="32"/>
        </w:rPr>
        <w:t xml:space="preserve"> %。</w:t>
      </w:r>
    </w:p>
    <w:p w14:paraId="45550D06">
      <w:pPr>
        <w:keepNext w:val="0"/>
        <w:keepLines w:val="0"/>
        <w:pageBreakBefore w:val="0"/>
        <w:kinsoku/>
        <w:wordWrap/>
        <w:overflowPunct/>
        <w:topLinePunct w:val="0"/>
        <w:bidi w:val="0"/>
        <w:snapToGrid/>
        <w:spacing w:line="576" w:lineRule="exact"/>
        <w:ind w:firstLine="640" w:firstLineChars="200"/>
        <w:rPr>
          <w:rFonts w:ascii="黑体" w:hAnsi="黑体" w:eastAsia="黑体"/>
          <w:sz w:val="32"/>
          <w:szCs w:val="32"/>
        </w:rPr>
      </w:pPr>
      <w:r>
        <w:rPr>
          <w:rFonts w:hint="eastAsia" w:ascii="黑体" w:hAnsi="黑体" w:eastAsia="黑体"/>
          <w:sz w:val="32"/>
          <w:szCs w:val="32"/>
        </w:rPr>
        <w:t>三、部门（单位）支出总体情况</w:t>
      </w:r>
    </w:p>
    <w:p w14:paraId="5394A68F">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r>
        <w:rPr>
          <w:rFonts w:hint="eastAsia" w:ascii="仿宋" w:hAnsi="仿宋" w:eastAsia="仿宋_GB2312"/>
          <w:sz w:val="32"/>
          <w:szCs w:val="32"/>
        </w:rPr>
        <w:t>支出预算总量</w:t>
      </w:r>
      <w:r>
        <w:rPr>
          <w:rFonts w:hint="eastAsia" w:ascii="仿宋" w:hAnsi="仿宋" w:eastAsia="仿宋_GB2312"/>
          <w:sz w:val="32"/>
          <w:szCs w:val="32"/>
          <w:u w:val="single"/>
          <w:lang w:val="en-US" w:eastAsia="zh-CN"/>
        </w:rPr>
        <w:t>2071.17</w:t>
      </w:r>
      <w:r>
        <w:rPr>
          <w:rFonts w:hint="eastAsia" w:ascii="仿宋" w:hAnsi="仿宋" w:eastAsia="仿宋_GB2312"/>
          <w:sz w:val="32"/>
          <w:szCs w:val="32"/>
        </w:rPr>
        <w:t>万元，同比增加</w:t>
      </w:r>
      <w:r>
        <w:rPr>
          <w:rFonts w:hint="eastAsia" w:ascii="仿宋" w:hAnsi="仿宋" w:eastAsia="仿宋_GB2312"/>
          <w:sz w:val="32"/>
          <w:szCs w:val="32"/>
          <w:u w:val="single"/>
          <w:lang w:val="en-US" w:eastAsia="zh-CN"/>
        </w:rPr>
        <w:t>332.93</w:t>
      </w:r>
      <w:r>
        <w:rPr>
          <w:rFonts w:hint="eastAsia" w:ascii="仿宋" w:hAnsi="仿宋" w:eastAsia="仿宋_GB2312"/>
          <w:sz w:val="32"/>
          <w:szCs w:val="32"/>
        </w:rPr>
        <w:t>万元，主要</w:t>
      </w:r>
      <w:r>
        <w:rPr>
          <w:rFonts w:ascii="仿宋" w:hAnsi="仿宋" w:eastAsia="仿宋_GB2312"/>
          <w:sz w:val="32"/>
          <w:szCs w:val="32"/>
        </w:rPr>
        <w:t>原因是：</w:t>
      </w:r>
      <w:r>
        <w:rPr>
          <w:rFonts w:hint="eastAsia" w:ascii="仿宋" w:hAnsi="仿宋" w:eastAsia="仿宋_GB2312"/>
          <w:sz w:val="32"/>
          <w:szCs w:val="32"/>
          <w:u w:val="single"/>
          <w:lang w:val="en-US" w:eastAsia="zh-CN"/>
        </w:rPr>
        <w:t>建设项目增加、一般公共服务支出有所增加</w:t>
      </w:r>
      <w:r>
        <w:rPr>
          <w:rFonts w:hint="eastAsia" w:ascii="仿宋" w:hAnsi="仿宋" w:eastAsia="仿宋_GB2312"/>
          <w:sz w:val="32"/>
          <w:szCs w:val="32"/>
          <w:u w:val="single"/>
        </w:rPr>
        <w:t xml:space="preserve">  </w:t>
      </w:r>
      <w:r>
        <w:rPr>
          <w:rFonts w:hint="eastAsia" w:ascii="仿宋" w:hAnsi="仿宋" w:eastAsia="仿宋_GB2312"/>
          <w:sz w:val="32"/>
          <w:szCs w:val="32"/>
        </w:rPr>
        <w:t>。其中：基本支出</w:t>
      </w:r>
      <w:r>
        <w:rPr>
          <w:rFonts w:hint="eastAsia" w:ascii="仿宋" w:hAnsi="仿宋" w:eastAsia="仿宋_GB2312"/>
          <w:sz w:val="32"/>
          <w:szCs w:val="32"/>
          <w:u w:val="single"/>
          <w:lang w:val="en-US" w:eastAsia="zh-CN"/>
        </w:rPr>
        <w:t>1447.11</w:t>
      </w:r>
      <w:r>
        <w:rPr>
          <w:rFonts w:hint="eastAsia" w:ascii="仿宋" w:hAnsi="仿宋" w:eastAsia="仿宋_GB2312"/>
          <w:sz w:val="32"/>
          <w:szCs w:val="32"/>
        </w:rPr>
        <w:t>万元，占</w:t>
      </w:r>
      <w:r>
        <w:rPr>
          <w:rFonts w:hint="eastAsia" w:ascii="仿宋" w:hAnsi="仿宋" w:eastAsia="仿宋_GB2312"/>
          <w:sz w:val="32"/>
          <w:szCs w:val="32"/>
          <w:u w:val="single"/>
          <w:lang w:val="en-US" w:eastAsia="zh-CN"/>
        </w:rPr>
        <w:t>69.87</w:t>
      </w:r>
      <w:r>
        <w:rPr>
          <w:rFonts w:hint="eastAsia" w:ascii="仿宋" w:hAnsi="仿宋" w:eastAsia="仿宋_GB2312"/>
          <w:sz w:val="32"/>
          <w:szCs w:val="32"/>
        </w:rPr>
        <w:t>%；项目支出</w:t>
      </w:r>
      <w:r>
        <w:rPr>
          <w:rFonts w:hint="eastAsia" w:ascii="仿宋" w:hAnsi="仿宋" w:eastAsia="仿宋_GB2312"/>
          <w:sz w:val="32"/>
          <w:szCs w:val="32"/>
          <w:u w:val="single"/>
        </w:rPr>
        <w:t xml:space="preserve"> </w:t>
      </w:r>
      <w:r>
        <w:rPr>
          <w:rFonts w:hint="eastAsia" w:ascii="仿宋" w:hAnsi="仿宋" w:eastAsia="仿宋_GB2312"/>
          <w:sz w:val="32"/>
          <w:szCs w:val="32"/>
          <w:u w:val="single"/>
          <w:lang w:val="en-US" w:eastAsia="zh-CN"/>
        </w:rPr>
        <w:t>624.07</w:t>
      </w:r>
      <w:r>
        <w:rPr>
          <w:rFonts w:hint="eastAsia" w:ascii="仿宋" w:hAnsi="仿宋" w:eastAsia="仿宋_GB2312"/>
          <w:sz w:val="32"/>
          <w:szCs w:val="32"/>
        </w:rPr>
        <w:t>万元，占</w:t>
      </w:r>
      <w:r>
        <w:rPr>
          <w:rFonts w:hint="eastAsia" w:ascii="仿宋" w:hAnsi="仿宋" w:eastAsia="仿宋_GB2312"/>
          <w:sz w:val="32"/>
          <w:szCs w:val="32"/>
          <w:u w:val="single"/>
          <w:lang w:val="en-US" w:eastAsia="zh-CN"/>
        </w:rPr>
        <w:t>30.13</w:t>
      </w:r>
      <w:r>
        <w:rPr>
          <w:rFonts w:hint="eastAsia" w:ascii="仿宋" w:hAnsi="仿宋" w:eastAsia="仿宋_GB2312"/>
          <w:sz w:val="32"/>
          <w:szCs w:val="32"/>
        </w:rPr>
        <w:t>%；。</w:t>
      </w:r>
    </w:p>
    <w:p w14:paraId="3A4461C1">
      <w:pPr>
        <w:keepNext w:val="0"/>
        <w:keepLines w:val="0"/>
        <w:pageBreakBefore w:val="0"/>
        <w:kinsoku/>
        <w:wordWrap/>
        <w:overflowPunct/>
        <w:topLinePunct w:val="0"/>
        <w:bidi w:val="0"/>
        <w:snapToGrid/>
        <w:spacing w:line="576" w:lineRule="exact"/>
        <w:ind w:firstLine="640" w:firstLineChars="200"/>
        <w:rPr>
          <w:rFonts w:ascii="黑体" w:hAnsi="黑体" w:eastAsia="黑体"/>
          <w:sz w:val="32"/>
          <w:szCs w:val="32"/>
        </w:rPr>
      </w:pPr>
      <w:r>
        <w:rPr>
          <w:rFonts w:hint="eastAsia" w:ascii="黑体" w:hAnsi="黑体" w:eastAsia="黑体"/>
          <w:sz w:val="32"/>
          <w:szCs w:val="32"/>
        </w:rPr>
        <w:t>四、财政拨款收支总体情况</w:t>
      </w:r>
    </w:p>
    <w:p w14:paraId="6D4CC472">
      <w:pPr>
        <w:keepNext w:val="0"/>
        <w:keepLines w:val="0"/>
        <w:pageBreakBefore w:val="0"/>
        <w:kinsoku/>
        <w:wordWrap/>
        <w:overflowPunct/>
        <w:topLinePunct w:val="0"/>
        <w:bidi w:val="0"/>
        <w:snapToGrid/>
        <w:spacing w:line="576" w:lineRule="exact"/>
        <w:ind w:firstLine="640" w:firstLineChars="200"/>
        <w:jc w:val="both"/>
        <w:rPr>
          <w:rFonts w:ascii="仿宋" w:hAnsi="仿宋" w:eastAsia="仿宋_GB2312"/>
          <w:sz w:val="32"/>
          <w:szCs w:val="32"/>
        </w:rPr>
      </w:pPr>
      <w:r>
        <w:rPr>
          <w:rFonts w:hint="eastAsia" w:ascii="仿宋" w:hAnsi="仿宋" w:eastAsia="仿宋_GB2312"/>
          <w:sz w:val="32"/>
          <w:szCs w:val="32"/>
        </w:rPr>
        <w:t>财政拨款收支总预算</w:t>
      </w:r>
      <w:r>
        <w:rPr>
          <w:rFonts w:hint="eastAsia" w:ascii="仿宋" w:hAnsi="仿宋" w:eastAsia="仿宋_GB2312"/>
          <w:sz w:val="32"/>
          <w:szCs w:val="32"/>
          <w:u w:val="single"/>
        </w:rPr>
        <w:t xml:space="preserve"> </w:t>
      </w:r>
      <w:r>
        <w:rPr>
          <w:rFonts w:hint="eastAsia" w:ascii="仿宋" w:hAnsi="仿宋" w:eastAsia="仿宋_GB2312"/>
          <w:sz w:val="32"/>
          <w:szCs w:val="32"/>
          <w:u w:val="single"/>
          <w:lang w:val="en-US" w:eastAsia="zh-CN"/>
        </w:rPr>
        <w:t>2071.17</w:t>
      </w:r>
      <w:r>
        <w:rPr>
          <w:rFonts w:hint="eastAsia" w:ascii="仿宋" w:hAnsi="仿宋" w:eastAsia="仿宋_GB2312"/>
          <w:sz w:val="32"/>
          <w:szCs w:val="32"/>
        </w:rPr>
        <w:t>万元，同比增加</w:t>
      </w:r>
      <w:r>
        <w:rPr>
          <w:rFonts w:hint="eastAsia" w:ascii="仿宋" w:hAnsi="仿宋" w:eastAsia="仿宋_GB2312"/>
          <w:sz w:val="32"/>
          <w:szCs w:val="32"/>
          <w:u w:val="single"/>
        </w:rPr>
        <w:t xml:space="preserve"> </w:t>
      </w:r>
      <w:r>
        <w:rPr>
          <w:rFonts w:hint="eastAsia" w:ascii="仿宋" w:hAnsi="仿宋" w:eastAsia="仿宋_GB2312"/>
          <w:sz w:val="32"/>
          <w:szCs w:val="32"/>
          <w:u w:val="single"/>
          <w:lang w:val="en-US" w:eastAsia="zh-CN"/>
        </w:rPr>
        <w:t>332.93</w:t>
      </w:r>
      <w:r>
        <w:rPr>
          <w:rFonts w:hint="eastAsia" w:ascii="仿宋" w:hAnsi="仿宋" w:eastAsia="仿宋_GB2312"/>
          <w:sz w:val="32"/>
          <w:szCs w:val="32"/>
        </w:rPr>
        <w:t>万元，主要</w:t>
      </w:r>
      <w:r>
        <w:rPr>
          <w:rFonts w:ascii="仿宋" w:hAnsi="仿宋" w:eastAsia="仿宋_GB2312"/>
          <w:sz w:val="32"/>
          <w:szCs w:val="32"/>
        </w:rPr>
        <w:t>原因是：</w:t>
      </w:r>
      <w:r>
        <w:rPr>
          <w:rFonts w:hint="eastAsia" w:ascii="仿宋" w:hAnsi="仿宋" w:eastAsia="仿宋_GB2312"/>
          <w:sz w:val="32"/>
          <w:szCs w:val="32"/>
          <w:u w:val="single"/>
        </w:rPr>
        <w:t xml:space="preserve"> </w:t>
      </w:r>
      <w:r>
        <w:rPr>
          <w:rFonts w:hint="eastAsia" w:ascii="仿宋" w:hAnsi="仿宋" w:eastAsia="仿宋_GB2312"/>
          <w:sz w:val="32"/>
          <w:szCs w:val="32"/>
          <w:u w:val="single"/>
          <w:lang w:val="en-US" w:eastAsia="zh-CN"/>
        </w:rPr>
        <w:t>一般上年结转资金增加、建设项目增加、一般公共服务支出有所增加</w:t>
      </w:r>
      <w:r>
        <w:rPr>
          <w:rFonts w:hint="eastAsia" w:ascii="仿宋" w:hAnsi="仿宋" w:eastAsia="仿宋_GB2312"/>
          <w:sz w:val="32"/>
          <w:szCs w:val="32"/>
          <w:u w:val="single"/>
        </w:rPr>
        <w:t xml:space="preserve"> </w:t>
      </w:r>
      <w:r>
        <w:rPr>
          <w:rFonts w:hint="eastAsia" w:ascii="仿宋" w:hAnsi="仿宋" w:eastAsia="仿宋_GB2312"/>
          <w:sz w:val="32"/>
          <w:szCs w:val="32"/>
        </w:rPr>
        <w:t>。收入包括：一般公共预算当年拨款收入</w:t>
      </w:r>
      <w:r>
        <w:rPr>
          <w:rFonts w:hint="eastAsia" w:ascii="仿宋" w:hAnsi="仿宋" w:eastAsia="仿宋_GB2312"/>
          <w:sz w:val="32"/>
          <w:szCs w:val="32"/>
          <w:u w:val="single"/>
        </w:rPr>
        <w:t xml:space="preserve"> </w:t>
      </w:r>
      <w:r>
        <w:rPr>
          <w:rFonts w:hint="eastAsia" w:ascii="仿宋" w:hAnsi="仿宋" w:eastAsia="仿宋_GB2312"/>
          <w:sz w:val="32"/>
          <w:szCs w:val="32"/>
          <w:u w:val="single"/>
          <w:lang w:val="en-US" w:eastAsia="zh-CN"/>
        </w:rPr>
        <w:t>1743.08</w:t>
      </w:r>
      <w:r>
        <w:rPr>
          <w:rFonts w:hint="eastAsia" w:ascii="仿宋" w:hAnsi="仿宋" w:eastAsia="仿宋_GB2312"/>
          <w:sz w:val="32"/>
          <w:szCs w:val="32"/>
          <w:u w:val="single"/>
        </w:rPr>
        <w:t xml:space="preserve"> </w:t>
      </w:r>
      <w:r>
        <w:rPr>
          <w:rFonts w:hint="eastAsia" w:ascii="仿宋" w:hAnsi="仿宋" w:eastAsia="仿宋_GB2312"/>
          <w:sz w:val="32"/>
          <w:szCs w:val="32"/>
        </w:rPr>
        <w:t>万元、政府性</w:t>
      </w:r>
      <w:r>
        <w:rPr>
          <w:rFonts w:ascii="仿宋" w:hAnsi="仿宋" w:eastAsia="仿宋_GB2312"/>
          <w:sz w:val="32"/>
          <w:szCs w:val="32"/>
        </w:rPr>
        <w:t>基金</w:t>
      </w:r>
      <w:r>
        <w:rPr>
          <w:rFonts w:hint="eastAsia" w:ascii="仿宋" w:hAnsi="仿宋" w:eastAsia="仿宋_GB2312"/>
          <w:sz w:val="32"/>
          <w:szCs w:val="32"/>
          <w:u w:val="single"/>
          <w:lang w:val="en-US" w:eastAsia="zh-CN"/>
        </w:rPr>
        <w:t>160</w:t>
      </w:r>
      <w:r>
        <w:rPr>
          <w:rFonts w:hint="eastAsia" w:ascii="仿宋" w:hAnsi="仿宋" w:eastAsia="仿宋_GB2312"/>
          <w:sz w:val="32"/>
          <w:szCs w:val="32"/>
        </w:rPr>
        <w:t>万元、上年结转</w:t>
      </w:r>
      <w:r>
        <w:rPr>
          <w:rFonts w:hint="eastAsia" w:ascii="仿宋" w:hAnsi="仿宋" w:eastAsia="仿宋_GB2312"/>
          <w:sz w:val="32"/>
          <w:szCs w:val="32"/>
          <w:u w:val="single"/>
          <w:lang w:val="en-US" w:eastAsia="zh-CN"/>
        </w:rPr>
        <w:t>168.09</w:t>
      </w:r>
      <w:r>
        <w:rPr>
          <w:rFonts w:hint="eastAsia" w:ascii="仿宋" w:hAnsi="仿宋" w:eastAsia="仿宋_GB2312"/>
          <w:sz w:val="32"/>
          <w:szCs w:val="32"/>
          <w:u w:val="single"/>
        </w:rPr>
        <w:t xml:space="preserve"> </w:t>
      </w:r>
      <w:r>
        <w:rPr>
          <w:rFonts w:hint="eastAsia" w:ascii="仿宋" w:hAnsi="仿宋" w:eastAsia="仿宋_GB2312"/>
          <w:sz w:val="32"/>
          <w:szCs w:val="32"/>
        </w:rPr>
        <w:t>万元；支出包括：一般公共服务支出</w:t>
      </w:r>
      <w:r>
        <w:rPr>
          <w:rFonts w:hint="eastAsia" w:ascii="仿宋" w:hAnsi="仿宋" w:eastAsia="仿宋_GB2312"/>
          <w:sz w:val="32"/>
          <w:szCs w:val="32"/>
          <w:u w:val="single"/>
        </w:rPr>
        <w:t xml:space="preserve">  </w:t>
      </w:r>
      <w:r>
        <w:rPr>
          <w:rFonts w:hint="eastAsia" w:ascii="仿宋" w:hAnsi="仿宋" w:eastAsia="仿宋_GB2312"/>
          <w:sz w:val="32"/>
          <w:szCs w:val="32"/>
          <w:u w:val="single"/>
          <w:lang w:val="en-US" w:eastAsia="zh-CN"/>
        </w:rPr>
        <w:t>1504.39</w:t>
      </w:r>
      <w:r>
        <w:rPr>
          <w:rFonts w:hint="eastAsia" w:ascii="仿宋" w:hAnsi="仿宋" w:eastAsia="仿宋_GB2312"/>
          <w:sz w:val="32"/>
          <w:szCs w:val="32"/>
        </w:rPr>
        <w:t>万元、</w:t>
      </w:r>
      <w:r>
        <w:rPr>
          <w:rFonts w:hint="eastAsia" w:ascii="仿宋" w:hAnsi="仿宋" w:eastAsia="仿宋_GB2312"/>
          <w:sz w:val="32"/>
          <w:szCs w:val="32"/>
          <w:lang w:val="en-US" w:eastAsia="zh-CN"/>
        </w:rPr>
        <w:t>国防支出</w:t>
      </w:r>
      <w:r>
        <w:rPr>
          <w:rFonts w:hint="eastAsia" w:ascii="仿宋" w:hAnsi="仿宋" w:eastAsia="仿宋_GB2312"/>
          <w:sz w:val="32"/>
          <w:szCs w:val="32"/>
          <w:u w:val="single"/>
          <w:lang w:val="en-US" w:eastAsia="zh-CN"/>
        </w:rPr>
        <w:t>1</w:t>
      </w:r>
      <w:r>
        <w:rPr>
          <w:rFonts w:hint="eastAsia" w:ascii="仿宋" w:hAnsi="仿宋" w:eastAsia="仿宋_GB2312"/>
          <w:sz w:val="32"/>
          <w:szCs w:val="32"/>
          <w:lang w:val="en-US" w:eastAsia="zh-CN"/>
        </w:rPr>
        <w:t>万元、</w:t>
      </w:r>
      <w:r>
        <w:rPr>
          <w:rFonts w:hint="eastAsia" w:ascii="仿宋" w:hAnsi="仿宋" w:eastAsia="仿宋_GB2312"/>
          <w:sz w:val="32"/>
          <w:szCs w:val="32"/>
        </w:rPr>
        <w:t>文化旅游体育与传媒支出</w:t>
      </w:r>
      <w:r>
        <w:rPr>
          <w:rFonts w:hint="eastAsia" w:ascii="仿宋" w:hAnsi="仿宋" w:eastAsia="仿宋_GB2312"/>
          <w:sz w:val="32"/>
          <w:szCs w:val="32"/>
          <w:u w:val="single"/>
          <w:lang w:val="en-US" w:eastAsia="zh-CN"/>
        </w:rPr>
        <w:t>3.6</w:t>
      </w:r>
      <w:r>
        <w:rPr>
          <w:rFonts w:hint="eastAsia" w:ascii="仿宋" w:hAnsi="仿宋" w:eastAsia="仿宋_GB2312"/>
          <w:sz w:val="32"/>
          <w:szCs w:val="32"/>
          <w:lang w:val="en-US" w:eastAsia="zh-CN"/>
        </w:rPr>
        <w:t>万元</w:t>
      </w:r>
      <w:r>
        <w:rPr>
          <w:rFonts w:hint="eastAsia" w:ascii="仿宋" w:hAnsi="仿宋" w:eastAsia="仿宋_GB2312"/>
          <w:sz w:val="32"/>
          <w:szCs w:val="32"/>
        </w:rPr>
        <w:t>、社会保障和就业支出</w:t>
      </w:r>
      <w:r>
        <w:rPr>
          <w:rFonts w:hint="eastAsia" w:ascii="仿宋" w:hAnsi="仿宋" w:eastAsia="仿宋_GB2312"/>
          <w:sz w:val="32"/>
          <w:szCs w:val="32"/>
          <w:u w:val="single"/>
          <w:lang w:val="en-US" w:eastAsia="zh-CN"/>
        </w:rPr>
        <w:t>157.3</w:t>
      </w:r>
      <w:r>
        <w:rPr>
          <w:rFonts w:hint="eastAsia" w:ascii="仿宋" w:hAnsi="仿宋" w:eastAsia="仿宋_GB2312"/>
          <w:sz w:val="32"/>
          <w:szCs w:val="32"/>
          <w:lang w:val="en-US" w:eastAsia="zh-CN"/>
        </w:rPr>
        <w:t>万元</w:t>
      </w:r>
      <w:r>
        <w:rPr>
          <w:rFonts w:hint="eastAsia" w:ascii="仿宋" w:hAnsi="仿宋" w:eastAsia="仿宋_GB2312"/>
          <w:sz w:val="32"/>
          <w:szCs w:val="32"/>
        </w:rPr>
        <w:t>、卫生健康支出</w:t>
      </w:r>
      <w:r>
        <w:rPr>
          <w:rFonts w:hint="eastAsia" w:ascii="仿宋" w:hAnsi="仿宋" w:eastAsia="仿宋_GB2312"/>
          <w:sz w:val="32"/>
          <w:szCs w:val="32"/>
          <w:u w:val="single"/>
          <w:lang w:val="en-US" w:eastAsia="zh-CN"/>
        </w:rPr>
        <w:t>91.36</w:t>
      </w:r>
      <w:r>
        <w:rPr>
          <w:rFonts w:hint="eastAsia" w:ascii="仿宋" w:hAnsi="仿宋" w:eastAsia="仿宋_GB2312"/>
          <w:sz w:val="32"/>
          <w:szCs w:val="32"/>
          <w:lang w:val="en-US" w:eastAsia="zh-CN"/>
        </w:rPr>
        <w:t>万元</w:t>
      </w:r>
      <w:r>
        <w:rPr>
          <w:rFonts w:hint="eastAsia" w:ascii="仿宋" w:hAnsi="仿宋" w:eastAsia="仿宋_GB2312"/>
          <w:sz w:val="32"/>
          <w:szCs w:val="32"/>
        </w:rPr>
        <w:t>、</w:t>
      </w:r>
      <w:r>
        <w:rPr>
          <w:rFonts w:hint="eastAsia" w:ascii="仿宋" w:hAnsi="仿宋" w:eastAsia="仿宋_GB2312"/>
          <w:sz w:val="32"/>
          <w:szCs w:val="32"/>
          <w:lang w:val="en-US" w:eastAsia="zh-CN"/>
        </w:rPr>
        <w:t>节能环保支出</w:t>
      </w:r>
      <w:r>
        <w:rPr>
          <w:rFonts w:hint="eastAsia" w:ascii="仿宋" w:hAnsi="仿宋" w:eastAsia="仿宋_GB2312"/>
          <w:sz w:val="32"/>
          <w:szCs w:val="32"/>
          <w:u w:val="single"/>
          <w:lang w:val="en-US" w:eastAsia="zh-CN"/>
        </w:rPr>
        <w:t>5.5</w:t>
      </w:r>
      <w:r>
        <w:rPr>
          <w:rFonts w:hint="eastAsia" w:ascii="仿宋" w:hAnsi="仿宋" w:eastAsia="仿宋_GB2312"/>
          <w:sz w:val="32"/>
          <w:szCs w:val="32"/>
          <w:lang w:val="en-US" w:eastAsia="zh-CN"/>
        </w:rPr>
        <w:t>万元、农林水支出</w:t>
      </w:r>
      <w:r>
        <w:rPr>
          <w:rFonts w:hint="eastAsia" w:ascii="仿宋" w:hAnsi="仿宋" w:eastAsia="仿宋_GB2312"/>
          <w:sz w:val="32"/>
          <w:szCs w:val="32"/>
          <w:u w:val="single"/>
          <w:lang w:val="en-US" w:eastAsia="zh-CN"/>
        </w:rPr>
        <w:t>35</w:t>
      </w:r>
      <w:r>
        <w:rPr>
          <w:rFonts w:hint="eastAsia" w:ascii="仿宋" w:hAnsi="仿宋" w:eastAsia="仿宋_GB2312"/>
          <w:sz w:val="32"/>
          <w:szCs w:val="32"/>
          <w:lang w:val="en-US" w:eastAsia="zh-CN"/>
        </w:rPr>
        <w:t>万元、</w:t>
      </w:r>
      <w:r>
        <w:rPr>
          <w:rFonts w:hint="eastAsia" w:ascii="仿宋" w:hAnsi="仿宋" w:eastAsia="仿宋_GB2312"/>
          <w:sz w:val="32"/>
          <w:szCs w:val="32"/>
        </w:rPr>
        <w:t>住房保障支出</w:t>
      </w:r>
      <w:r>
        <w:rPr>
          <w:rFonts w:hint="eastAsia" w:ascii="仿宋" w:hAnsi="仿宋" w:eastAsia="仿宋_GB2312"/>
          <w:sz w:val="32"/>
          <w:szCs w:val="32"/>
          <w:u w:val="single"/>
          <w:lang w:val="en-US" w:eastAsia="zh-CN"/>
        </w:rPr>
        <w:t>113.02</w:t>
      </w:r>
      <w:r>
        <w:rPr>
          <w:rFonts w:hint="eastAsia" w:ascii="仿宋" w:hAnsi="仿宋" w:eastAsia="仿宋_GB2312"/>
          <w:sz w:val="32"/>
          <w:szCs w:val="32"/>
          <w:lang w:val="en-US" w:eastAsia="zh-CN"/>
        </w:rPr>
        <w:t>万元</w:t>
      </w:r>
      <w:r>
        <w:rPr>
          <w:rFonts w:hint="eastAsia" w:ascii="仿宋" w:hAnsi="仿宋" w:eastAsia="仿宋_GB2312"/>
          <w:sz w:val="32"/>
          <w:szCs w:val="32"/>
          <w:lang w:eastAsia="zh-CN"/>
        </w:rPr>
        <w:t>、</w:t>
      </w:r>
      <w:r>
        <w:rPr>
          <w:rFonts w:hint="eastAsia" w:ascii="仿宋" w:hAnsi="仿宋" w:eastAsia="仿宋_GB2312"/>
          <w:sz w:val="32"/>
          <w:szCs w:val="32"/>
          <w:lang w:val="en-US" w:eastAsia="zh-CN"/>
        </w:rPr>
        <w:t>其他支出</w:t>
      </w:r>
      <w:r>
        <w:rPr>
          <w:rFonts w:hint="eastAsia" w:ascii="仿宋" w:hAnsi="仿宋" w:eastAsia="仿宋_GB2312"/>
          <w:sz w:val="32"/>
          <w:szCs w:val="32"/>
          <w:u w:val="single"/>
          <w:lang w:val="en-US" w:eastAsia="zh-CN"/>
        </w:rPr>
        <w:t>160</w:t>
      </w:r>
      <w:r>
        <w:rPr>
          <w:rFonts w:hint="eastAsia" w:ascii="仿宋" w:hAnsi="仿宋" w:eastAsia="仿宋_GB2312"/>
          <w:sz w:val="32"/>
          <w:szCs w:val="32"/>
          <w:lang w:val="en-US" w:eastAsia="zh-CN"/>
        </w:rPr>
        <w:t>万元</w:t>
      </w:r>
      <w:r>
        <w:rPr>
          <w:rFonts w:hint="eastAsia" w:ascii="仿宋" w:hAnsi="仿宋" w:eastAsia="仿宋_GB2312"/>
          <w:sz w:val="32"/>
          <w:szCs w:val="32"/>
        </w:rPr>
        <w:t>。</w:t>
      </w:r>
    </w:p>
    <w:p w14:paraId="11AEE6A8">
      <w:pPr>
        <w:keepNext w:val="0"/>
        <w:keepLines w:val="0"/>
        <w:pageBreakBefore w:val="0"/>
        <w:kinsoku/>
        <w:wordWrap/>
        <w:overflowPunct/>
        <w:topLinePunct w:val="0"/>
        <w:bidi w:val="0"/>
        <w:snapToGrid/>
        <w:spacing w:line="576" w:lineRule="exact"/>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14:paraId="55312FA8">
      <w:pPr>
        <w:keepNext w:val="0"/>
        <w:keepLines w:val="0"/>
        <w:pageBreakBefore w:val="0"/>
        <w:kinsoku/>
        <w:wordWrap/>
        <w:overflowPunct/>
        <w:topLinePunct w:val="0"/>
        <w:bidi w:val="0"/>
        <w:snapToGrid/>
        <w:spacing w:line="576" w:lineRule="exact"/>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14:paraId="6A82F4D2">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r>
        <w:rPr>
          <w:rFonts w:hint="eastAsia" w:ascii="仿宋" w:hAnsi="仿宋" w:eastAsia="仿宋_GB2312"/>
          <w:sz w:val="32"/>
          <w:szCs w:val="32"/>
        </w:rPr>
        <w:t>一般公共预算当年拨款</w:t>
      </w:r>
      <w:r>
        <w:rPr>
          <w:rFonts w:hint="eastAsia" w:ascii="仿宋" w:hAnsi="仿宋" w:eastAsia="仿宋_GB2312"/>
          <w:sz w:val="32"/>
          <w:szCs w:val="32"/>
          <w:u w:val="single"/>
          <w:lang w:val="en-US" w:eastAsia="zh-CN"/>
        </w:rPr>
        <w:t>2071.17</w:t>
      </w:r>
      <w:r>
        <w:rPr>
          <w:rFonts w:hint="eastAsia" w:ascii="仿宋" w:hAnsi="仿宋" w:eastAsia="仿宋_GB2312"/>
          <w:sz w:val="32"/>
          <w:szCs w:val="32"/>
        </w:rPr>
        <w:t>万元,比</w:t>
      </w:r>
      <w:r>
        <w:rPr>
          <w:rFonts w:hint="eastAsia" w:ascii="仿宋" w:hAnsi="仿宋" w:eastAsia="仿宋_GB2312"/>
          <w:sz w:val="32"/>
          <w:szCs w:val="32"/>
          <w:lang w:eastAsia="zh-CN"/>
        </w:rPr>
        <w:t>2024</w:t>
      </w:r>
      <w:r>
        <w:rPr>
          <w:rFonts w:hint="eastAsia" w:ascii="仿宋" w:hAnsi="仿宋" w:eastAsia="仿宋_GB2312"/>
          <w:sz w:val="32"/>
          <w:szCs w:val="32"/>
        </w:rPr>
        <w:t xml:space="preserve"> 年执行数</w:t>
      </w:r>
      <w:r>
        <w:rPr>
          <w:rFonts w:ascii="仿宋" w:hAnsi="仿宋" w:eastAsia="仿宋_GB2312"/>
          <w:sz w:val="32"/>
          <w:szCs w:val="32"/>
        </w:rPr>
        <w:t>增加</w:t>
      </w:r>
      <w:r>
        <w:rPr>
          <w:rFonts w:hint="eastAsia" w:ascii="仿宋" w:hAnsi="仿宋" w:eastAsia="仿宋_GB2312"/>
          <w:sz w:val="32"/>
          <w:szCs w:val="32"/>
          <w:u w:val="single"/>
          <w:lang w:val="en-US" w:eastAsia="zh-CN"/>
        </w:rPr>
        <w:t>332.93</w:t>
      </w:r>
      <w:r>
        <w:rPr>
          <w:rFonts w:hint="eastAsia" w:ascii="仿宋" w:hAnsi="仿宋" w:eastAsia="仿宋_GB2312"/>
          <w:sz w:val="32"/>
          <w:szCs w:val="32"/>
          <w:u w:val="single"/>
        </w:rPr>
        <w:t xml:space="preserve"> </w:t>
      </w:r>
      <w:r>
        <w:rPr>
          <w:rFonts w:hint="eastAsia" w:ascii="仿宋" w:hAnsi="仿宋" w:eastAsia="仿宋_GB2312"/>
          <w:sz w:val="32"/>
          <w:szCs w:val="32"/>
        </w:rPr>
        <w:t>万元，主要原因：</w:t>
      </w:r>
      <w:r>
        <w:rPr>
          <w:rFonts w:hint="eastAsia" w:ascii="仿宋" w:hAnsi="仿宋" w:eastAsia="仿宋_GB2312"/>
          <w:sz w:val="32"/>
          <w:szCs w:val="32"/>
          <w:u w:val="single"/>
          <w:lang w:val="en-US" w:eastAsia="zh-CN"/>
        </w:rPr>
        <w:t>食堂经费提高、新增政府性预算资金及上年结转资金增加</w:t>
      </w:r>
      <w:r>
        <w:rPr>
          <w:rFonts w:hint="eastAsia" w:ascii="仿宋" w:hAnsi="仿宋" w:eastAsia="仿宋_GB2312"/>
          <w:sz w:val="32"/>
          <w:szCs w:val="32"/>
          <w:u w:val="single"/>
        </w:rPr>
        <w:t xml:space="preserve"> </w:t>
      </w:r>
      <w:r>
        <w:rPr>
          <w:rFonts w:hint="eastAsia" w:ascii="仿宋" w:hAnsi="仿宋" w:eastAsia="仿宋_GB2312"/>
          <w:sz w:val="32"/>
          <w:szCs w:val="32"/>
        </w:rPr>
        <w:t>。</w:t>
      </w:r>
    </w:p>
    <w:p w14:paraId="5E0C9AC0">
      <w:pPr>
        <w:keepNext w:val="0"/>
        <w:keepLines w:val="0"/>
        <w:pageBreakBefore w:val="0"/>
        <w:kinsoku/>
        <w:wordWrap/>
        <w:overflowPunct/>
        <w:topLinePunct w:val="0"/>
        <w:bidi w:val="0"/>
        <w:snapToGrid/>
        <w:spacing w:line="576" w:lineRule="exact"/>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14:paraId="2B7B3DCC">
      <w:pPr>
        <w:keepNext w:val="0"/>
        <w:keepLines w:val="0"/>
        <w:pageBreakBefore w:val="0"/>
        <w:kinsoku/>
        <w:wordWrap/>
        <w:overflowPunct/>
        <w:topLinePunct w:val="0"/>
        <w:bidi w:val="0"/>
        <w:snapToGrid/>
        <w:spacing w:line="576" w:lineRule="exact"/>
        <w:ind w:firstLine="640" w:firstLineChars="200"/>
        <w:rPr>
          <w:rFonts w:hint="eastAsia" w:ascii="仿宋" w:hAnsi="仿宋" w:eastAsia="仿宋_GB2312"/>
          <w:sz w:val="32"/>
          <w:szCs w:val="32"/>
          <w:lang w:val="en-US" w:eastAsia="zh-CN"/>
        </w:rPr>
      </w:pPr>
      <w:r>
        <w:rPr>
          <w:rFonts w:hint="eastAsia" w:ascii="仿宋" w:hAnsi="仿宋" w:eastAsia="仿宋_GB2312"/>
          <w:sz w:val="32"/>
          <w:szCs w:val="32"/>
        </w:rPr>
        <w:t>一般公共预算当年拨款</w:t>
      </w:r>
      <w:r>
        <w:rPr>
          <w:rFonts w:hint="eastAsia" w:ascii="仿宋" w:hAnsi="仿宋" w:eastAsia="仿宋_GB2312"/>
          <w:sz w:val="32"/>
          <w:szCs w:val="32"/>
          <w:u w:val="single"/>
          <w:lang w:val="en-US" w:eastAsia="zh-CN"/>
        </w:rPr>
        <w:t>2071.17</w:t>
      </w:r>
      <w:r>
        <w:rPr>
          <w:rFonts w:hint="eastAsia" w:ascii="仿宋" w:hAnsi="仿宋" w:eastAsia="仿宋_GB2312"/>
          <w:sz w:val="32"/>
          <w:szCs w:val="32"/>
          <w:u w:val="single"/>
        </w:rPr>
        <w:t xml:space="preserve"> </w:t>
      </w:r>
      <w:r>
        <w:rPr>
          <w:rFonts w:hint="eastAsia" w:ascii="仿宋" w:hAnsi="仿宋" w:eastAsia="仿宋_GB2312"/>
          <w:sz w:val="32"/>
          <w:szCs w:val="32"/>
        </w:rPr>
        <w:t>万元,主要</w:t>
      </w:r>
      <w:r>
        <w:rPr>
          <w:rFonts w:ascii="仿宋" w:hAnsi="仿宋" w:eastAsia="仿宋_GB2312"/>
          <w:sz w:val="32"/>
          <w:szCs w:val="32"/>
        </w:rPr>
        <w:t>用于以下方面：</w:t>
      </w:r>
      <w:r>
        <w:rPr>
          <w:rFonts w:hint="eastAsia" w:ascii="仿宋" w:hAnsi="仿宋" w:eastAsia="仿宋_GB2312"/>
          <w:sz w:val="32"/>
          <w:szCs w:val="32"/>
        </w:rPr>
        <w:t>一般公共服务支出</w:t>
      </w:r>
      <w:r>
        <w:rPr>
          <w:rFonts w:hint="eastAsia" w:ascii="仿宋" w:hAnsi="仿宋" w:eastAsia="仿宋_GB2312"/>
          <w:sz w:val="32"/>
          <w:szCs w:val="32"/>
          <w:u w:val="single"/>
          <w:lang w:val="en-US" w:eastAsia="zh-CN"/>
        </w:rPr>
        <w:t>1504.39</w:t>
      </w:r>
      <w:r>
        <w:rPr>
          <w:rFonts w:hint="eastAsia" w:ascii="仿宋" w:hAnsi="仿宋" w:eastAsia="仿宋_GB2312"/>
          <w:sz w:val="32"/>
          <w:szCs w:val="32"/>
          <w:u w:val="single"/>
        </w:rPr>
        <w:t xml:space="preserve"> </w:t>
      </w:r>
      <w:r>
        <w:rPr>
          <w:rFonts w:hint="eastAsia" w:ascii="仿宋" w:hAnsi="仿宋" w:eastAsia="仿宋_GB2312"/>
          <w:sz w:val="32"/>
          <w:szCs w:val="32"/>
        </w:rPr>
        <w:t>万元，占</w:t>
      </w:r>
      <w:r>
        <w:rPr>
          <w:rFonts w:hint="eastAsia" w:ascii="仿宋" w:hAnsi="仿宋" w:eastAsia="仿宋_GB2312"/>
          <w:sz w:val="32"/>
          <w:szCs w:val="32"/>
          <w:u w:val="single"/>
          <w:lang w:val="en-US" w:eastAsia="zh-CN"/>
        </w:rPr>
        <w:t>72.63</w:t>
      </w:r>
      <w:r>
        <w:rPr>
          <w:rFonts w:hint="eastAsia" w:ascii="仿宋" w:hAnsi="仿宋" w:eastAsia="仿宋_GB2312"/>
          <w:sz w:val="32"/>
          <w:szCs w:val="32"/>
        </w:rPr>
        <w:t>%</w:t>
      </w:r>
      <w:r>
        <w:rPr>
          <w:rFonts w:hint="eastAsia" w:ascii="仿宋" w:hAnsi="仿宋" w:eastAsia="仿宋_GB2312"/>
          <w:sz w:val="32"/>
          <w:szCs w:val="32"/>
          <w:lang w:eastAsia="zh-CN"/>
        </w:rPr>
        <w:t>、</w:t>
      </w:r>
      <w:r>
        <w:rPr>
          <w:rFonts w:hint="eastAsia" w:ascii="仿宋" w:hAnsi="仿宋" w:eastAsia="仿宋_GB2312"/>
          <w:sz w:val="32"/>
          <w:szCs w:val="32"/>
          <w:lang w:val="en-US" w:eastAsia="zh-CN"/>
        </w:rPr>
        <w:t>国防支出</w:t>
      </w:r>
      <w:r>
        <w:rPr>
          <w:rFonts w:hint="eastAsia" w:ascii="仿宋" w:hAnsi="仿宋" w:eastAsia="仿宋_GB2312"/>
          <w:sz w:val="32"/>
          <w:szCs w:val="32"/>
          <w:u w:val="single"/>
          <w:lang w:val="en-US" w:eastAsia="zh-CN"/>
        </w:rPr>
        <w:t>1</w:t>
      </w:r>
      <w:r>
        <w:rPr>
          <w:rFonts w:hint="eastAsia" w:ascii="仿宋" w:hAnsi="仿宋" w:eastAsia="仿宋_GB2312"/>
          <w:sz w:val="32"/>
          <w:szCs w:val="32"/>
          <w:lang w:val="en-US" w:eastAsia="zh-CN"/>
        </w:rPr>
        <w:t>万元，占</w:t>
      </w:r>
      <w:r>
        <w:rPr>
          <w:rFonts w:hint="eastAsia" w:ascii="仿宋" w:hAnsi="仿宋" w:eastAsia="仿宋_GB2312"/>
          <w:sz w:val="32"/>
          <w:szCs w:val="32"/>
          <w:u w:val="single"/>
          <w:lang w:val="en-US" w:eastAsia="zh-CN"/>
        </w:rPr>
        <w:t>0.05</w:t>
      </w:r>
      <w:r>
        <w:rPr>
          <w:rFonts w:hint="eastAsia" w:ascii="仿宋" w:hAnsi="仿宋" w:eastAsia="仿宋_GB2312"/>
          <w:sz w:val="32"/>
          <w:szCs w:val="32"/>
          <w:lang w:val="en-US" w:eastAsia="zh-CN"/>
        </w:rPr>
        <w:t>%、</w:t>
      </w:r>
      <w:r>
        <w:rPr>
          <w:rFonts w:hint="eastAsia" w:ascii="仿宋" w:hAnsi="仿宋" w:eastAsia="仿宋_GB2312"/>
          <w:sz w:val="32"/>
          <w:szCs w:val="32"/>
        </w:rPr>
        <w:t>文化旅游体育与传媒支出</w:t>
      </w:r>
      <w:r>
        <w:rPr>
          <w:rFonts w:hint="eastAsia" w:ascii="仿宋" w:hAnsi="仿宋" w:eastAsia="仿宋_GB2312"/>
          <w:sz w:val="32"/>
          <w:szCs w:val="32"/>
          <w:u w:val="single"/>
          <w:lang w:val="en-US" w:eastAsia="zh-CN"/>
        </w:rPr>
        <w:t>3.6</w:t>
      </w:r>
      <w:r>
        <w:rPr>
          <w:rFonts w:hint="eastAsia" w:ascii="仿宋" w:hAnsi="仿宋" w:eastAsia="仿宋_GB2312"/>
          <w:sz w:val="32"/>
          <w:szCs w:val="32"/>
          <w:lang w:val="en-US" w:eastAsia="zh-CN"/>
        </w:rPr>
        <w:t>万元，占</w:t>
      </w:r>
      <w:r>
        <w:rPr>
          <w:rFonts w:hint="eastAsia" w:ascii="仿宋" w:hAnsi="仿宋" w:eastAsia="仿宋_GB2312"/>
          <w:sz w:val="32"/>
          <w:szCs w:val="32"/>
          <w:u w:val="single"/>
          <w:lang w:val="en-US" w:eastAsia="zh-CN"/>
        </w:rPr>
        <w:t>0.17</w:t>
      </w:r>
      <w:r>
        <w:rPr>
          <w:rFonts w:hint="eastAsia" w:ascii="仿宋" w:hAnsi="仿宋" w:eastAsia="仿宋_GB2312"/>
          <w:sz w:val="32"/>
          <w:szCs w:val="32"/>
          <w:lang w:val="en-US" w:eastAsia="zh-CN"/>
        </w:rPr>
        <w:t>%</w:t>
      </w:r>
      <w:r>
        <w:rPr>
          <w:rFonts w:hint="eastAsia" w:ascii="仿宋" w:hAnsi="仿宋" w:eastAsia="仿宋_GB2312"/>
          <w:sz w:val="32"/>
          <w:szCs w:val="32"/>
        </w:rPr>
        <w:t>、社会保障和就业支出</w:t>
      </w:r>
      <w:r>
        <w:rPr>
          <w:rFonts w:hint="eastAsia" w:ascii="仿宋" w:hAnsi="仿宋" w:eastAsia="仿宋_GB2312"/>
          <w:sz w:val="32"/>
          <w:szCs w:val="32"/>
          <w:u w:val="single"/>
          <w:lang w:val="en-US" w:eastAsia="zh-CN"/>
        </w:rPr>
        <w:t>157.3</w:t>
      </w:r>
      <w:r>
        <w:rPr>
          <w:rFonts w:hint="eastAsia" w:ascii="仿宋" w:hAnsi="仿宋" w:eastAsia="仿宋_GB2312"/>
          <w:sz w:val="32"/>
          <w:szCs w:val="32"/>
          <w:lang w:val="en-US" w:eastAsia="zh-CN"/>
        </w:rPr>
        <w:t>万元，占</w:t>
      </w:r>
      <w:r>
        <w:rPr>
          <w:rFonts w:hint="eastAsia" w:ascii="仿宋" w:hAnsi="仿宋" w:eastAsia="仿宋_GB2312"/>
          <w:sz w:val="32"/>
          <w:szCs w:val="32"/>
          <w:u w:val="single"/>
          <w:lang w:val="en-US" w:eastAsia="zh-CN"/>
        </w:rPr>
        <w:t>7.59</w:t>
      </w:r>
      <w:r>
        <w:rPr>
          <w:rFonts w:hint="eastAsia" w:ascii="仿宋" w:hAnsi="仿宋" w:eastAsia="仿宋_GB2312"/>
          <w:sz w:val="32"/>
          <w:szCs w:val="32"/>
          <w:lang w:val="en-US" w:eastAsia="zh-CN"/>
        </w:rPr>
        <w:t>%</w:t>
      </w:r>
      <w:r>
        <w:rPr>
          <w:rFonts w:hint="eastAsia" w:ascii="仿宋" w:hAnsi="仿宋" w:eastAsia="仿宋_GB2312"/>
          <w:sz w:val="32"/>
          <w:szCs w:val="32"/>
        </w:rPr>
        <w:t>、卫生健康支出</w:t>
      </w:r>
      <w:r>
        <w:rPr>
          <w:rFonts w:hint="eastAsia" w:ascii="仿宋" w:hAnsi="仿宋" w:eastAsia="仿宋_GB2312"/>
          <w:sz w:val="32"/>
          <w:szCs w:val="32"/>
          <w:u w:val="single"/>
          <w:lang w:val="en-US" w:eastAsia="zh-CN"/>
        </w:rPr>
        <w:t>91.36</w:t>
      </w:r>
      <w:r>
        <w:rPr>
          <w:rFonts w:hint="eastAsia" w:ascii="仿宋" w:hAnsi="仿宋" w:eastAsia="仿宋_GB2312"/>
          <w:sz w:val="32"/>
          <w:szCs w:val="32"/>
          <w:lang w:val="en-US" w:eastAsia="zh-CN"/>
        </w:rPr>
        <w:t>万元，占</w:t>
      </w:r>
      <w:r>
        <w:rPr>
          <w:rFonts w:hint="eastAsia" w:ascii="仿宋" w:hAnsi="仿宋" w:eastAsia="仿宋_GB2312"/>
          <w:sz w:val="32"/>
          <w:szCs w:val="32"/>
          <w:u w:val="single"/>
          <w:lang w:val="en-US" w:eastAsia="zh-CN"/>
        </w:rPr>
        <w:t>4.41</w:t>
      </w:r>
      <w:r>
        <w:rPr>
          <w:rFonts w:hint="eastAsia" w:ascii="仿宋" w:hAnsi="仿宋" w:eastAsia="仿宋_GB2312"/>
          <w:sz w:val="32"/>
          <w:szCs w:val="32"/>
          <w:lang w:val="en-US" w:eastAsia="zh-CN"/>
        </w:rPr>
        <w:t>%</w:t>
      </w:r>
      <w:r>
        <w:rPr>
          <w:rFonts w:hint="eastAsia" w:ascii="仿宋" w:hAnsi="仿宋" w:eastAsia="仿宋_GB2312"/>
          <w:sz w:val="32"/>
          <w:szCs w:val="32"/>
        </w:rPr>
        <w:t>、</w:t>
      </w:r>
      <w:r>
        <w:rPr>
          <w:rFonts w:hint="eastAsia" w:ascii="仿宋" w:hAnsi="仿宋" w:eastAsia="仿宋_GB2312"/>
          <w:sz w:val="32"/>
          <w:szCs w:val="32"/>
          <w:lang w:val="en-US" w:eastAsia="zh-CN"/>
        </w:rPr>
        <w:t>节能环保支出</w:t>
      </w:r>
      <w:r>
        <w:rPr>
          <w:rFonts w:hint="eastAsia" w:ascii="仿宋" w:hAnsi="仿宋" w:eastAsia="仿宋_GB2312"/>
          <w:sz w:val="32"/>
          <w:szCs w:val="32"/>
          <w:u w:val="single"/>
          <w:lang w:val="en-US" w:eastAsia="zh-CN"/>
        </w:rPr>
        <w:t>5.5</w:t>
      </w:r>
      <w:r>
        <w:rPr>
          <w:rFonts w:hint="eastAsia" w:ascii="仿宋" w:hAnsi="仿宋" w:eastAsia="仿宋_GB2312"/>
          <w:sz w:val="32"/>
          <w:szCs w:val="32"/>
          <w:lang w:val="en-US" w:eastAsia="zh-CN"/>
        </w:rPr>
        <w:t>万元，占</w:t>
      </w:r>
      <w:r>
        <w:rPr>
          <w:rFonts w:hint="eastAsia" w:ascii="仿宋" w:hAnsi="仿宋" w:eastAsia="仿宋_GB2312"/>
          <w:sz w:val="32"/>
          <w:szCs w:val="32"/>
          <w:u w:val="single"/>
          <w:lang w:val="en-US" w:eastAsia="zh-CN"/>
        </w:rPr>
        <w:t>0.27</w:t>
      </w:r>
      <w:r>
        <w:rPr>
          <w:rFonts w:hint="eastAsia" w:ascii="仿宋" w:hAnsi="仿宋" w:eastAsia="仿宋_GB2312"/>
          <w:sz w:val="32"/>
          <w:szCs w:val="32"/>
          <w:lang w:val="en-US" w:eastAsia="zh-CN"/>
        </w:rPr>
        <w:t>%、农林水支出</w:t>
      </w:r>
      <w:r>
        <w:rPr>
          <w:rFonts w:hint="eastAsia" w:ascii="仿宋" w:hAnsi="仿宋" w:eastAsia="仿宋_GB2312"/>
          <w:sz w:val="32"/>
          <w:szCs w:val="32"/>
          <w:u w:val="single"/>
          <w:lang w:val="en-US" w:eastAsia="zh-CN"/>
        </w:rPr>
        <w:t>35</w:t>
      </w:r>
      <w:r>
        <w:rPr>
          <w:rFonts w:hint="eastAsia" w:ascii="仿宋" w:hAnsi="仿宋" w:eastAsia="仿宋_GB2312"/>
          <w:sz w:val="32"/>
          <w:szCs w:val="32"/>
          <w:lang w:val="en-US" w:eastAsia="zh-CN"/>
        </w:rPr>
        <w:t>万元，占</w:t>
      </w:r>
      <w:r>
        <w:rPr>
          <w:rFonts w:hint="eastAsia" w:ascii="仿宋" w:hAnsi="仿宋" w:eastAsia="仿宋_GB2312"/>
          <w:sz w:val="32"/>
          <w:szCs w:val="32"/>
          <w:u w:val="single"/>
          <w:lang w:val="en-US" w:eastAsia="zh-CN"/>
        </w:rPr>
        <w:t>1.69</w:t>
      </w:r>
      <w:r>
        <w:rPr>
          <w:rFonts w:hint="eastAsia" w:ascii="仿宋" w:hAnsi="仿宋" w:eastAsia="仿宋_GB2312"/>
          <w:sz w:val="32"/>
          <w:szCs w:val="32"/>
          <w:lang w:val="en-US" w:eastAsia="zh-CN"/>
        </w:rPr>
        <w:t>%、</w:t>
      </w:r>
      <w:r>
        <w:rPr>
          <w:rFonts w:hint="eastAsia" w:ascii="仿宋" w:hAnsi="仿宋" w:eastAsia="仿宋_GB2312"/>
          <w:sz w:val="32"/>
          <w:szCs w:val="32"/>
        </w:rPr>
        <w:t>住房保障支出</w:t>
      </w:r>
      <w:r>
        <w:rPr>
          <w:rFonts w:hint="eastAsia" w:ascii="仿宋" w:hAnsi="仿宋" w:eastAsia="仿宋_GB2312"/>
          <w:sz w:val="32"/>
          <w:szCs w:val="32"/>
          <w:u w:val="single"/>
          <w:lang w:val="en-US" w:eastAsia="zh-CN"/>
        </w:rPr>
        <w:t>113.02</w:t>
      </w:r>
      <w:r>
        <w:rPr>
          <w:rFonts w:hint="eastAsia" w:ascii="仿宋" w:hAnsi="仿宋" w:eastAsia="仿宋_GB2312"/>
          <w:sz w:val="32"/>
          <w:szCs w:val="32"/>
          <w:lang w:val="en-US" w:eastAsia="zh-CN"/>
        </w:rPr>
        <w:t>万元，占</w:t>
      </w:r>
      <w:r>
        <w:rPr>
          <w:rFonts w:hint="eastAsia" w:ascii="仿宋" w:hAnsi="仿宋" w:eastAsia="仿宋_GB2312"/>
          <w:sz w:val="32"/>
          <w:szCs w:val="32"/>
          <w:u w:val="single"/>
          <w:lang w:val="en-US" w:eastAsia="zh-CN"/>
        </w:rPr>
        <w:t>5.46</w:t>
      </w:r>
      <w:r>
        <w:rPr>
          <w:rFonts w:hint="eastAsia" w:ascii="仿宋" w:hAnsi="仿宋" w:eastAsia="仿宋_GB2312"/>
          <w:sz w:val="32"/>
          <w:szCs w:val="32"/>
          <w:lang w:val="en-US" w:eastAsia="zh-CN"/>
        </w:rPr>
        <w:t>%</w:t>
      </w:r>
      <w:r>
        <w:rPr>
          <w:rFonts w:hint="eastAsia" w:ascii="仿宋" w:hAnsi="仿宋" w:eastAsia="仿宋_GB2312"/>
          <w:sz w:val="32"/>
          <w:szCs w:val="32"/>
          <w:lang w:eastAsia="zh-CN"/>
        </w:rPr>
        <w:t>、</w:t>
      </w:r>
      <w:r>
        <w:rPr>
          <w:rFonts w:hint="eastAsia" w:ascii="仿宋" w:hAnsi="仿宋" w:eastAsia="仿宋_GB2312"/>
          <w:sz w:val="32"/>
          <w:szCs w:val="32"/>
          <w:lang w:val="en-US" w:eastAsia="zh-CN"/>
        </w:rPr>
        <w:t>其他支出</w:t>
      </w:r>
      <w:r>
        <w:rPr>
          <w:rFonts w:hint="eastAsia" w:ascii="仿宋" w:hAnsi="仿宋" w:eastAsia="仿宋_GB2312"/>
          <w:sz w:val="32"/>
          <w:szCs w:val="32"/>
          <w:u w:val="single"/>
          <w:lang w:val="en-US" w:eastAsia="zh-CN"/>
        </w:rPr>
        <w:t>160</w:t>
      </w:r>
      <w:r>
        <w:rPr>
          <w:rFonts w:hint="eastAsia" w:ascii="仿宋" w:hAnsi="仿宋" w:eastAsia="仿宋_GB2312"/>
          <w:sz w:val="32"/>
          <w:szCs w:val="32"/>
          <w:lang w:val="en-US" w:eastAsia="zh-CN"/>
        </w:rPr>
        <w:t>万元，占</w:t>
      </w:r>
      <w:r>
        <w:rPr>
          <w:rFonts w:hint="eastAsia" w:ascii="仿宋" w:hAnsi="仿宋" w:eastAsia="仿宋_GB2312"/>
          <w:sz w:val="32"/>
          <w:szCs w:val="32"/>
          <w:u w:val="single"/>
          <w:lang w:val="en-US" w:eastAsia="zh-CN"/>
        </w:rPr>
        <w:t>7.73</w:t>
      </w:r>
      <w:r>
        <w:rPr>
          <w:rFonts w:hint="eastAsia" w:ascii="仿宋" w:hAnsi="仿宋" w:eastAsia="仿宋_GB2312"/>
          <w:sz w:val="32"/>
          <w:szCs w:val="32"/>
          <w:lang w:val="en-US" w:eastAsia="zh-CN"/>
        </w:rPr>
        <w:t xml:space="preserve">%。 </w:t>
      </w:r>
    </w:p>
    <w:p w14:paraId="3E220FBF">
      <w:pPr>
        <w:keepNext w:val="0"/>
        <w:keepLines w:val="0"/>
        <w:pageBreakBefore w:val="0"/>
        <w:kinsoku/>
        <w:wordWrap/>
        <w:overflowPunct/>
        <w:topLinePunct w:val="0"/>
        <w:bidi w:val="0"/>
        <w:snapToGrid/>
        <w:spacing w:line="576" w:lineRule="exact"/>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14:paraId="21B24094">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对</w:t>
      </w:r>
      <w:r>
        <w:rPr>
          <w:rFonts w:ascii="仿宋" w:hAnsi="仿宋" w:eastAsia="仿宋_GB2312"/>
          <w:sz w:val="32"/>
          <w:szCs w:val="32"/>
          <w:highlight w:val="none"/>
        </w:rPr>
        <w:t>本部门</w:t>
      </w:r>
      <w:r>
        <w:rPr>
          <w:rFonts w:hint="eastAsia" w:ascii="仿宋" w:hAnsi="仿宋" w:eastAsia="仿宋_GB2312"/>
          <w:sz w:val="32"/>
          <w:szCs w:val="32"/>
          <w:highlight w:val="none"/>
        </w:rPr>
        <w:t>（单位）一般</w:t>
      </w:r>
      <w:r>
        <w:rPr>
          <w:rFonts w:ascii="仿宋" w:hAnsi="仿宋" w:eastAsia="仿宋_GB2312"/>
          <w:sz w:val="32"/>
          <w:szCs w:val="32"/>
          <w:highlight w:val="none"/>
        </w:rPr>
        <w:t>公共预算支出</w:t>
      </w:r>
      <w:r>
        <w:rPr>
          <w:rFonts w:hint="eastAsia" w:ascii="仿宋" w:hAnsi="仿宋" w:eastAsia="仿宋_GB2312"/>
          <w:sz w:val="32"/>
          <w:szCs w:val="32"/>
          <w:highlight w:val="none"/>
        </w:rPr>
        <w:t>功能分类项级</w:t>
      </w:r>
      <w:r>
        <w:rPr>
          <w:rFonts w:ascii="仿宋" w:hAnsi="仿宋" w:eastAsia="仿宋_GB2312"/>
          <w:sz w:val="32"/>
          <w:szCs w:val="32"/>
          <w:highlight w:val="none"/>
        </w:rPr>
        <w:t>科目</w:t>
      </w:r>
      <w:r>
        <w:rPr>
          <w:rFonts w:hint="eastAsia" w:ascii="仿宋" w:hAnsi="仿宋" w:eastAsia="仿宋_GB2312"/>
          <w:sz w:val="32"/>
          <w:szCs w:val="32"/>
          <w:highlight w:val="none"/>
        </w:rPr>
        <w:t>增减变化进行</w:t>
      </w:r>
      <w:r>
        <w:rPr>
          <w:rFonts w:ascii="仿宋" w:hAnsi="仿宋" w:eastAsia="仿宋_GB2312"/>
          <w:sz w:val="32"/>
          <w:szCs w:val="32"/>
          <w:highlight w:val="none"/>
        </w:rPr>
        <w:t>说明。</w:t>
      </w:r>
    </w:p>
    <w:p w14:paraId="14408591">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1.一般公共服务支出（类）</w:t>
      </w:r>
      <w:r>
        <w:rPr>
          <w:rFonts w:hint="eastAsia" w:ascii="仿宋" w:hAnsi="仿宋" w:eastAsia="仿宋_GB2312"/>
          <w:sz w:val="32"/>
          <w:szCs w:val="32"/>
          <w:highlight w:val="none"/>
          <w:lang w:val="en-US" w:eastAsia="zh-CN"/>
        </w:rPr>
        <w:t>人大事务</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其他人大事务支出</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6</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年执行数减少</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万元，下降</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%。主要是</w:t>
      </w:r>
      <w:r>
        <w:rPr>
          <w:rFonts w:hint="eastAsia" w:ascii="仿宋" w:hAnsi="仿宋" w:eastAsia="仿宋_GB2312"/>
          <w:sz w:val="32"/>
          <w:szCs w:val="32"/>
          <w:highlight w:val="none"/>
          <w:lang w:val="en-US" w:eastAsia="zh-CN"/>
        </w:rPr>
        <w:t>人大代表专题调研和学习考察视察的经费保障</w:t>
      </w:r>
      <w:r>
        <w:rPr>
          <w:rFonts w:hint="eastAsia" w:ascii="仿宋" w:hAnsi="仿宋" w:eastAsia="仿宋_GB2312"/>
          <w:sz w:val="32"/>
          <w:szCs w:val="32"/>
          <w:highlight w:val="none"/>
        </w:rPr>
        <w:t>。</w:t>
      </w:r>
    </w:p>
    <w:p w14:paraId="3B6D8424">
      <w:pPr>
        <w:keepNext w:val="0"/>
        <w:keepLines w:val="0"/>
        <w:pageBreakBefore w:val="0"/>
        <w:kinsoku/>
        <w:wordWrap/>
        <w:overflowPunct/>
        <w:topLinePunct w:val="0"/>
        <w:bidi w:val="0"/>
        <w:snapToGrid/>
        <w:spacing w:line="576" w:lineRule="exact"/>
        <w:ind w:firstLine="640" w:firstLineChars="200"/>
        <w:rPr>
          <w:rFonts w:hint="default" w:ascii="仿宋" w:hAnsi="仿宋" w:eastAsia="仿宋_GB2312"/>
          <w:sz w:val="32"/>
          <w:szCs w:val="32"/>
          <w:highlight w:val="none"/>
          <w:lang w:val="en-US" w:eastAsia="zh-CN"/>
        </w:rPr>
      </w:pPr>
      <w:r>
        <w:rPr>
          <w:rFonts w:hint="eastAsia" w:ascii="仿宋" w:hAnsi="仿宋" w:eastAsia="仿宋_GB2312"/>
          <w:sz w:val="32"/>
          <w:szCs w:val="32"/>
          <w:highlight w:val="none"/>
        </w:rPr>
        <w:t>2.一般公共服务支出（类）</w:t>
      </w:r>
      <w:r>
        <w:rPr>
          <w:rFonts w:hint="eastAsia" w:ascii="仿宋" w:hAnsi="仿宋" w:eastAsia="仿宋_GB2312"/>
          <w:sz w:val="32"/>
          <w:szCs w:val="32"/>
          <w:highlight w:val="none"/>
          <w:lang w:val="en-US" w:eastAsia="zh-CN"/>
        </w:rPr>
        <w:t>人大事务</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人大会议</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1.5</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年执行数减少</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0.5</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万元，下降</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25</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节省会议开支厉行节约。</w:t>
      </w:r>
    </w:p>
    <w:p w14:paraId="29924CFB">
      <w:pPr>
        <w:keepNext w:val="0"/>
        <w:keepLines w:val="0"/>
        <w:pageBreakBefore w:val="0"/>
        <w:kinsoku/>
        <w:wordWrap/>
        <w:overflowPunct/>
        <w:topLinePunct w:val="0"/>
        <w:bidi w:val="0"/>
        <w:snapToGrid/>
        <w:spacing w:line="576" w:lineRule="exact"/>
        <w:ind w:firstLine="640" w:firstLineChars="200"/>
        <w:rPr>
          <w:rFonts w:hint="default" w:ascii="仿宋" w:hAnsi="仿宋" w:eastAsia="仿宋_GB2312"/>
          <w:sz w:val="32"/>
          <w:szCs w:val="32"/>
          <w:highlight w:val="none"/>
          <w:lang w:val="en-US" w:eastAsia="zh-CN"/>
        </w:rPr>
      </w:pPr>
      <w:r>
        <w:rPr>
          <w:rFonts w:hint="eastAsia" w:ascii="仿宋" w:hAnsi="仿宋" w:eastAsia="仿宋_GB2312"/>
          <w:sz w:val="32"/>
          <w:szCs w:val="32"/>
          <w:highlight w:val="none"/>
          <w:lang w:val="en-US" w:eastAsia="zh-CN"/>
        </w:rPr>
        <w:t>3.</w:t>
      </w:r>
      <w:r>
        <w:rPr>
          <w:rFonts w:hint="eastAsia" w:ascii="仿宋" w:hAnsi="仿宋" w:eastAsia="仿宋_GB2312"/>
          <w:sz w:val="32"/>
          <w:szCs w:val="32"/>
          <w:highlight w:val="none"/>
        </w:rPr>
        <w:t>一般公共服务支出（类）</w:t>
      </w:r>
      <w:r>
        <w:rPr>
          <w:rFonts w:hint="eastAsia" w:ascii="仿宋" w:hAnsi="仿宋" w:eastAsia="仿宋_GB2312"/>
          <w:sz w:val="32"/>
          <w:szCs w:val="32"/>
          <w:highlight w:val="none"/>
          <w:lang w:val="en-US" w:eastAsia="zh-CN"/>
        </w:rPr>
        <w:t>人大事务</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行政运行</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4.56</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w:t>
      </w:r>
      <w:r>
        <w:rPr>
          <w:rFonts w:hint="eastAsia" w:ascii="仿宋" w:hAnsi="仿宋" w:eastAsia="仿宋_GB2312"/>
          <w:sz w:val="32"/>
          <w:szCs w:val="32"/>
          <w:highlight w:val="none"/>
          <w:lang w:val="en-US" w:eastAsia="zh-CN"/>
        </w:rPr>
        <w:t>增加</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4.56</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w:t>
      </w:r>
      <w:r>
        <w:rPr>
          <w:rFonts w:hint="eastAsia" w:ascii="仿宋" w:hAnsi="仿宋" w:eastAsia="仿宋_GB2312"/>
          <w:sz w:val="32"/>
          <w:szCs w:val="32"/>
          <w:highlight w:val="none"/>
          <w:lang w:val="en-US" w:eastAsia="zh-CN"/>
        </w:rPr>
        <w:t>提升</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100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为人大代表按时发放规定标准的电话、交通等补助。</w:t>
      </w:r>
    </w:p>
    <w:p w14:paraId="065A62E5">
      <w:pPr>
        <w:keepNext w:val="0"/>
        <w:keepLines w:val="0"/>
        <w:pageBreakBefore w:val="0"/>
        <w:kinsoku/>
        <w:wordWrap/>
        <w:overflowPunct/>
        <w:topLinePunct w:val="0"/>
        <w:bidi w:val="0"/>
        <w:snapToGrid/>
        <w:spacing w:line="576" w:lineRule="exact"/>
        <w:ind w:firstLine="640" w:firstLineChars="200"/>
        <w:rPr>
          <w:rFonts w:hint="default" w:ascii="仿宋" w:hAnsi="仿宋" w:eastAsia="仿宋_GB2312"/>
          <w:sz w:val="32"/>
          <w:szCs w:val="32"/>
          <w:highlight w:val="none"/>
          <w:lang w:val="en-US" w:eastAsia="zh-CN"/>
        </w:rPr>
      </w:pPr>
      <w:r>
        <w:rPr>
          <w:rFonts w:hint="eastAsia" w:ascii="仿宋" w:hAnsi="仿宋" w:eastAsia="仿宋_GB2312"/>
          <w:sz w:val="32"/>
          <w:szCs w:val="32"/>
          <w:highlight w:val="none"/>
          <w:lang w:val="en-US" w:eastAsia="zh-CN"/>
        </w:rPr>
        <w:t>4.</w:t>
      </w:r>
      <w:r>
        <w:rPr>
          <w:rFonts w:hint="eastAsia" w:ascii="仿宋" w:hAnsi="仿宋" w:eastAsia="仿宋_GB2312"/>
          <w:sz w:val="32"/>
          <w:szCs w:val="32"/>
          <w:highlight w:val="none"/>
        </w:rPr>
        <w:t>一般公共服务支出（类）</w:t>
      </w:r>
      <w:r>
        <w:rPr>
          <w:rFonts w:hint="eastAsia" w:ascii="仿宋" w:hAnsi="仿宋" w:eastAsia="仿宋_GB2312"/>
          <w:sz w:val="32"/>
          <w:szCs w:val="32"/>
          <w:highlight w:val="none"/>
          <w:lang w:val="en-US" w:eastAsia="zh-CN"/>
        </w:rPr>
        <w:t>人大事务</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人大代表履职能力提升</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lang w:val="en-US" w:eastAsia="zh-CN"/>
        </w:rPr>
        <w:t>2</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年执行数减少</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0</w:t>
      </w:r>
      <w:r>
        <w:rPr>
          <w:rFonts w:hint="eastAsia" w:ascii="仿宋" w:hAnsi="仿宋" w:eastAsia="仿宋_GB2312"/>
          <w:sz w:val="32"/>
          <w:szCs w:val="32"/>
          <w:highlight w:val="none"/>
        </w:rPr>
        <w:t>万元，下降</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人大代表正常履职的工作经费。</w:t>
      </w:r>
    </w:p>
    <w:p w14:paraId="12FE3DBC">
      <w:pPr>
        <w:keepNext w:val="0"/>
        <w:keepLines w:val="0"/>
        <w:pageBreakBefore w:val="0"/>
        <w:kinsoku/>
        <w:wordWrap/>
        <w:overflowPunct/>
        <w:topLinePunct w:val="0"/>
        <w:bidi w:val="0"/>
        <w:snapToGrid/>
        <w:spacing w:line="576" w:lineRule="exact"/>
        <w:ind w:firstLine="640" w:firstLineChars="200"/>
        <w:rPr>
          <w:rFonts w:hint="default" w:ascii="仿宋" w:hAnsi="仿宋" w:eastAsia="仿宋_GB2312"/>
          <w:sz w:val="32"/>
          <w:szCs w:val="32"/>
          <w:highlight w:val="none"/>
          <w:lang w:val="en-US" w:eastAsia="zh-CN"/>
        </w:rPr>
      </w:pPr>
      <w:r>
        <w:rPr>
          <w:rFonts w:hint="eastAsia" w:ascii="仿宋" w:hAnsi="仿宋" w:eastAsia="仿宋_GB2312"/>
          <w:sz w:val="32"/>
          <w:szCs w:val="32"/>
          <w:highlight w:val="none"/>
          <w:lang w:val="en-US" w:eastAsia="zh-CN"/>
        </w:rPr>
        <w:t>5.</w:t>
      </w:r>
      <w:r>
        <w:rPr>
          <w:rFonts w:hint="eastAsia" w:ascii="仿宋" w:hAnsi="仿宋" w:eastAsia="仿宋_GB2312"/>
          <w:sz w:val="32"/>
          <w:szCs w:val="32"/>
          <w:highlight w:val="none"/>
        </w:rPr>
        <w:t>一般公共服务支出（类）</w:t>
      </w:r>
      <w:r>
        <w:rPr>
          <w:rFonts w:hint="eastAsia" w:ascii="仿宋" w:hAnsi="仿宋" w:eastAsia="仿宋_GB2312"/>
          <w:sz w:val="32"/>
          <w:szCs w:val="32"/>
          <w:highlight w:val="none"/>
          <w:lang w:val="en-US" w:eastAsia="zh-CN"/>
        </w:rPr>
        <w:t>政府办公厅（室）及相关机构事务</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行政运行</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lang w:val="en-US" w:eastAsia="zh-CN"/>
        </w:rPr>
        <w:t>1286.24</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w:t>
      </w:r>
      <w:r>
        <w:rPr>
          <w:rFonts w:hint="eastAsia" w:ascii="仿宋" w:hAnsi="仿宋" w:eastAsia="仿宋_GB2312"/>
          <w:sz w:val="32"/>
          <w:szCs w:val="32"/>
          <w:highlight w:val="none"/>
          <w:lang w:val="en-US" w:eastAsia="zh-CN"/>
        </w:rPr>
        <w:t>增加</w:t>
      </w:r>
      <w:r>
        <w:rPr>
          <w:rFonts w:hint="eastAsia" w:ascii="仿宋" w:hAnsi="仿宋" w:eastAsia="仿宋_GB2312"/>
          <w:sz w:val="32"/>
          <w:szCs w:val="32"/>
          <w:highlight w:val="none"/>
          <w:u w:val="single"/>
          <w:lang w:val="en-US" w:eastAsia="zh-CN"/>
        </w:rPr>
        <w:t>223.81</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w:t>
      </w:r>
      <w:r>
        <w:rPr>
          <w:rFonts w:hint="eastAsia" w:ascii="仿宋" w:hAnsi="仿宋" w:eastAsia="仿宋_GB2312"/>
          <w:sz w:val="32"/>
          <w:szCs w:val="32"/>
          <w:highlight w:val="none"/>
          <w:lang w:val="en-US" w:eastAsia="zh-CN"/>
        </w:rPr>
        <w:t>提升</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21.06</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机关运行及人员经费增加。</w:t>
      </w:r>
    </w:p>
    <w:p w14:paraId="46DACD9D">
      <w:pPr>
        <w:keepNext w:val="0"/>
        <w:keepLines w:val="0"/>
        <w:pageBreakBefore w:val="0"/>
        <w:kinsoku/>
        <w:wordWrap/>
        <w:overflowPunct/>
        <w:topLinePunct w:val="0"/>
        <w:bidi w:val="0"/>
        <w:snapToGrid/>
        <w:spacing w:line="576" w:lineRule="exact"/>
        <w:ind w:firstLine="640" w:firstLineChars="200"/>
        <w:rPr>
          <w:rFonts w:hint="default" w:ascii="仿宋" w:hAnsi="仿宋" w:eastAsia="仿宋_GB2312"/>
          <w:sz w:val="32"/>
          <w:szCs w:val="32"/>
          <w:highlight w:val="none"/>
          <w:lang w:val="en-US" w:eastAsia="zh-CN"/>
        </w:rPr>
      </w:pPr>
      <w:r>
        <w:rPr>
          <w:rFonts w:hint="eastAsia" w:ascii="仿宋" w:hAnsi="仿宋" w:eastAsia="仿宋_GB2312"/>
          <w:sz w:val="32"/>
          <w:szCs w:val="32"/>
          <w:highlight w:val="none"/>
          <w:lang w:val="en-US" w:eastAsia="zh-CN"/>
        </w:rPr>
        <w:t>6.</w:t>
      </w:r>
      <w:r>
        <w:rPr>
          <w:rFonts w:hint="eastAsia" w:ascii="仿宋" w:hAnsi="仿宋" w:eastAsia="仿宋_GB2312"/>
          <w:sz w:val="32"/>
          <w:szCs w:val="32"/>
          <w:highlight w:val="none"/>
        </w:rPr>
        <w:t>一般公共服务支出（类）</w:t>
      </w:r>
      <w:r>
        <w:rPr>
          <w:rFonts w:hint="eastAsia" w:ascii="仿宋" w:hAnsi="仿宋" w:eastAsia="仿宋_GB2312"/>
          <w:sz w:val="32"/>
          <w:szCs w:val="32"/>
          <w:highlight w:val="none"/>
          <w:lang w:val="en-US" w:eastAsia="zh-CN"/>
        </w:rPr>
        <w:t>政府办公厅（室）及相关机构事务</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 其他政府办公厅（室）及相关机构事务支出</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95.92</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年执行数减少</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90.23</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万元，下降</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48.47</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机关运行及人员经费调整为行政运行功能分类当中。</w:t>
      </w:r>
    </w:p>
    <w:p w14:paraId="24C557BA">
      <w:pPr>
        <w:keepNext w:val="0"/>
        <w:keepLines w:val="0"/>
        <w:pageBreakBefore w:val="0"/>
        <w:kinsoku/>
        <w:wordWrap/>
        <w:overflowPunct/>
        <w:topLinePunct w:val="0"/>
        <w:bidi w:val="0"/>
        <w:snapToGrid/>
        <w:spacing w:line="576" w:lineRule="exact"/>
        <w:ind w:firstLine="640" w:firstLineChars="200"/>
        <w:rPr>
          <w:rFonts w:hint="default" w:ascii="仿宋" w:hAnsi="仿宋" w:eastAsia="仿宋_GB2312"/>
          <w:sz w:val="32"/>
          <w:szCs w:val="32"/>
          <w:highlight w:val="none"/>
          <w:lang w:val="en-US" w:eastAsia="zh-CN"/>
        </w:rPr>
      </w:pPr>
      <w:r>
        <w:rPr>
          <w:rFonts w:hint="eastAsia" w:ascii="仿宋" w:hAnsi="仿宋" w:eastAsia="仿宋_GB2312"/>
          <w:sz w:val="32"/>
          <w:szCs w:val="32"/>
          <w:highlight w:val="none"/>
          <w:lang w:val="en-US" w:eastAsia="zh-CN"/>
        </w:rPr>
        <w:t>7.</w:t>
      </w:r>
      <w:r>
        <w:rPr>
          <w:rFonts w:hint="eastAsia" w:ascii="仿宋" w:hAnsi="仿宋" w:eastAsia="仿宋_GB2312"/>
          <w:sz w:val="32"/>
          <w:szCs w:val="32"/>
          <w:highlight w:val="none"/>
        </w:rPr>
        <w:t>一般公共服务支出（类）</w:t>
      </w:r>
      <w:r>
        <w:rPr>
          <w:rFonts w:hint="eastAsia" w:ascii="仿宋" w:hAnsi="仿宋" w:eastAsia="仿宋_GB2312"/>
          <w:sz w:val="32"/>
          <w:szCs w:val="32"/>
          <w:highlight w:val="none"/>
          <w:lang w:val="en-US" w:eastAsia="zh-CN"/>
        </w:rPr>
        <w:t>发展与改革事务</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行政运行</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80.17</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年执行数减少</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w:t>
      </w:r>
      <w:r>
        <w:rPr>
          <w:rFonts w:hint="eastAsia" w:ascii="仿宋" w:hAnsi="仿宋" w:eastAsia="仿宋_GB2312"/>
          <w:sz w:val="32"/>
          <w:szCs w:val="32"/>
          <w:highlight w:val="none"/>
          <w:lang w:val="en-US" w:eastAsia="zh-CN"/>
        </w:rPr>
        <w:t>提升</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100</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上年结转资金（兴开产业配套道路建设项目资金）。</w:t>
      </w:r>
    </w:p>
    <w:p w14:paraId="2B5C4C1C">
      <w:pPr>
        <w:keepNext w:val="0"/>
        <w:keepLines w:val="0"/>
        <w:pageBreakBefore w:val="0"/>
        <w:kinsoku/>
        <w:wordWrap/>
        <w:overflowPunct/>
        <w:topLinePunct w:val="0"/>
        <w:bidi w:val="0"/>
        <w:snapToGrid/>
        <w:spacing w:line="576" w:lineRule="exact"/>
        <w:ind w:firstLine="640" w:firstLineChars="200"/>
        <w:rPr>
          <w:rFonts w:hint="default" w:ascii="仿宋" w:hAnsi="仿宋" w:eastAsia="仿宋_GB2312"/>
          <w:sz w:val="32"/>
          <w:szCs w:val="32"/>
          <w:highlight w:val="none"/>
          <w:lang w:val="en-US" w:eastAsia="zh-CN"/>
        </w:rPr>
      </w:pPr>
      <w:r>
        <w:rPr>
          <w:rFonts w:hint="eastAsia" w:ascii="仿宋" w:hAnsi="仿宋" w:eastAsia="仿宋_GB2312"/>
          <w:sz w:val="32"/>
          <w:szCs w:val="32"/>
          <w:highlight w:val="none"/>
          <w:lang w:val="en-US" w:eastAsia="zh-CN"/>
        </w:rPr>
        <w:t>8.</w:t>
      </w:r>
      <w:r>
        <w:rPr>
          <w:rFonts w:hint="eastAsia" w:ascii="仿宋" w:hAnsi="仿宋" w:eastAsia="仿宋_GB2312"/>
          <w:sz w:val="32"/>
          <w:szCs w:val="32"/>
          <w:highlight w:val="none"/>
        </w:rPr>
        <w:t>一般公共服务支出（类）</w:t>
      </w:r>
      <w:r>
        <w:rPr>
          <w:rFonts w:hint="eastAsia" w:ascii="仿宋" w:hAnsi="仿宋" w:eastAsia="仿宋_GB2312"/>
          <w:sz w:val="32"/>
          <w:szCs w:val="32"/>
          <w:highlight w:val="none"/>
          <w:lang w:val="en-US" w:eastAsia="zh-CN"/>
        </w:rPr>
        <w:t>统计信息事务</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专项统计业务</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1</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年执行数减少</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万元，下降</w:t>
      </w:r>
      <w:r>
        <w:rPr>
          <w:rFonts w:hint="eastAsia" w:ascii="仿宋" w:hAnsi="仿宋" w:eastAsia="仿宋_GB2312"/>
          <w:sz w:val="32"/>
          <w:szCs w:val="32"/>
          <w:highlight w:val="none"/>
          <w:u w:val="single"/>
          <w:lang w:val="en-US" w:eastAsia="zh-CN"/>
        </w:rPr>
        <w:t>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按计划支出。</w:t>
      </w:r>
    </w:p>
    <w:p w14:paraId="2DD5AF80">
      <w:pPr>
        <w:keepNext w:val="0"/>
        <w:keepLines w:val="0"/>
        <w:pageBreakBefore w:val="0"/>
        <w:kinsoku/>
        <w:wordWrap/>
        <w:overflowPunct/>
        <w:topLinePunct w:val="0"/>
        <w:bidi w:val="0"/>
        <w:snapToGrid/>
        <w:spacing w:line="576" w:lineRule="exact"/>
        <w:ind w:firstLine="640" w:firstLineChars="200"/>
        <w:rPr>
          <w:rFonts w:hint="eastAsia" w:ascii="仿宋" w:hAnsi="仿宋" w:eastAsia="仿宋_GB2312"/>
          <w:sz w:val="32"/>
          <w:szCs w:val="32"/>
          <w:highlight w:val="none"/>
          <w:lang w:eastAsia="zh-CN"/>
        </w:rPr>
      </w:pPr>
      <w:r>
        <w:rPr>
          <w:rFonts w:hint="eastAsia" w:ascii="仿宋" w:hAnsi="仿宋" w:eastAsia="仿宋_GB2312"/>
          <w:sz w:val="32"/>
          <w:szCs w:val="32"/>
          <w:highlight w:val="none"/>
          <w:lang w:val="en-US" w:eastAsia="zh-CN"/>
        </w:rPr>
        <w:t>9.</w:t>
      </w:r>
      <w:r>
        <w:rPr>
          <w:rFonts w:hint="eastAsia" w:ascii="仿宋" w:hAnsi="仿宋" w:eastAsia="仿宋_GB2312"/>
          <w:sz w:val="32"/>
          <w:szCs w:val="32"/>
          <w:highlight w:val="none"/>
        </w:rPr>
        <w:t>一般公共服务支出（类）</w:t>
      </w:r>
      <w:r>
        <w:rPr>
          <w:rFonts w:hint="eastAsia" w:ascii="仿宋" w:hAnsi="仿宋" w:eastAsia="仿宋_GB2312"/>
          <w:sz w:val="32"/>
          <w:szCs w:val="32"/>
          <w:highlight w:val="none"/>
          <w:lang w:val="en-US" w:eastAsia="zh-CN"/>
        </w:rPr>
        <w:t>纪检监察事务</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其他纪检监察事务支出</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2</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年执行数减少</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2</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万元，下降</w:t>
      </w:r>
      <w:r>
        <w:rPr>
          <w:rFonts w:hint="eastAsia" w:ascii="仿宋" w:hAnsi="仿宋" w:eastAsia="仿宋_GB2312"/>
          <w:sz w:val="32"/>
          <w:szCs w:val="32"/>
          <w:highlight w:val="none"/>
          <w:u w:val="single"/>
          <w:lang w:val="en-US" w:eastAsia="zh-CN"/>
        </w:rPr>
        <w:t>50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调减了不必要开支。</w:t>
      </w:r>
    </w:p>
    <w:p w14:paraId="41BE2D80">
      <w:pPr>
        <w:keepNext w:val="0"/>
        <w:keepLines w:val="0"/>
        <w:pageBreakBefore w:val="0"/>
        <w:kinsoku/>
        <w:wordWrap/>
        <w:overflowPunct/>
        <w:topLinePunct w:val="0"/>
        <w:bidi w:val="0"/>
        <w:snapToGrid/>
        <w:spacing w:line="576" w:lineRule="exact"/>
        <w:ind w:firstLine="640" w:firstLineChars="200"/>
        <w:rPr>
          <w:rFonts w:hint="default" w:ascii="仿宋" w:hAnsi="仿宋" w:eastAsia="仿宋_GB2312"/>
          <w:sz w:val="32"/>
          <w:szCs w:val="32"/>
          <w:highlight w:val="none"/>
          <w:lang w:val="en-US" w:eastAsia="zh-CN"/>
        </w:rPr>
      </w:pPr>
      <w:r>
        <w:rPr>
          <w:rFonts w:hint="eastAsia" w:ascii="仿宋" w:hAnsi="仿宋" w:eastAsia="仿宋_GB2312"/>
          <w:sz w:val="32"/>
          <w:szCs w:val="32"/>
          <w:highlight w:val="none"/>
          <w:lang w:val="en-US" w:eastAsia="zh-CN"/>
        </w:rPr>
        <w:t>10.</w:t>
      </w:r>
      <w:r>
        <w:rPr>
          <w:rFonts w:hint="eastAsia" w:ascii="仿宋" w:hAnsi="仿宋" w:eastAsia="仿宋_GB2312"/>
          <w:sz w:val="32"/>
          <w:szCs w:val="32"/>
          <w:highlight w:val="none"/>
        </w:rPr>
        <w:t>一般公共服务支出（类）</w:t>
      </w:r>
      <w:r>
        <w:rPr>
          <w:rFonts w:hint="eastAsia" w:ascii="仿宋" w:hAnsi="仿宋" w:eastAsia="仿宋_GB2312"/>
          <w:sz w:val="32"/>
          <w:szCs w:val="32"/>
          <w:highlight w:val="none"/>
          <w:lang w:val="en-US" w:eastAsia="zh-CN"/>
        </w:rPr>
        <w:t>群众团体事务</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其他群众团体事务支出</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5</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年执行数减少</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4.56</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万元，下降</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47.70</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将人大代表电话、交通补贴形成单独预算项目。</w:t>
      </w:r>
    </w:p>
    <w:p w14:paraId="7C225B26">
      <w:pPr>
        <w:keepNext w:val="0"/>
        <w:keepLines w:val="0"/>
        <w:pageBreakBefore w:val="0"/>
        <w:kinsoku/>
        <w:wordWrap/>
        <w:overflowPunct/>
        <w:topLinePunct w:val="0"/>
        <w:bidi w:val="0"/>
        <w:snapToGrid/>
        <w:spacing w:line="576" w:lineRule="exact"/>
        <w:ind w:firstLine="640" w:firstLineChars="200"/>
        <w:rPr>
          <w:rFonts w:hint="eastAsia" w:ascii="仿宋" w:hAnsi="仿宋" w:eastAsia="仿宋_GB2312"/>
          <w:sz w:val="32"/>
          <w:szCs w:val="32"/>
          <w:highlight w:val="none"/>
          <w:lang w:val="en-US" w:eastAsia="zh-CN"/>
        </w:rPr>
      </w:pPr>
      <w:r>
        <w:rPr>
          <w:rFonts w:hint="eastAsia" w:ascii="仿宋" w:hAnsi="仿宋" w:eastAsia="仿宋_GB2312"/>
          <w:sz w:val="32"/>
          <w:szCs w:val="32"/>
          <w:highlight w:val="none"/>
          <w:lang w:val="en-US" w:eastAsia="zh-CN"/>
        </w:rPr>
        <w:t>11.</w:t>
      </w:r>
      <w:r>
        <w:rPr>
          <w:rFonts w:hint="eastAsia" w:ascii="仿宋" w:hAnsi="仿宋" w:eastAsia="仿宋_GB2312"/>
          <w:sz w:val="32"/>
          <w:szCs w:val="32"/>
          <w:highlight w:val="none"/>
        </w:rPr>
        <w:t>一般公共服务支出（类）</w:t>
      </w:r>
      <w:r>
        <w:rPr>
          <w:rFonts w:hint="eastAsia" w:ascii="仿宋" w:hAnsi="仿宋" w:eastAsia="仿宋_GB2312"/>
          <w:sz w:val="32"/>
          <w:szCs w:val="32"/>
          <w:highlight w:val="none"/>
          <w:lang w:val="en-US" w:eastAsia="zh-CN"/>
        </w:rPr>
        <w:t>党委办公厅（室）及相关机构事务</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行政运行</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20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w:t>
      </w:r>
      <w:r>
        <w:rPr>
          <w:rFonts w:hint="eastAsia" w:ascii="仿宋" w:hAnsi="仿宋" w:eastAsia="仿宋_GB2312"/>
          <w:sz w:val="32"/>
          <w:szCs w:val="32"/>
          <w:highlight w:val="none"/>
          <w:lang w:val="en-US" w:eastAsia="zh-CN"/>
        </w:rPr>
        <w:t>增加</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20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w:t>
      </w:r>
      <w:r>
        <w:rPr>
          <w:rFonts w:hint="eastAsia" w:ascii="仿宋" w:hAnsi="仿宋" w:eastAsia="仿宋_GB2312"/>
          <w:sz w:val="32"/>
          <w:szCs w:val="32"/>
          <w:highlight w:val="none"/>
          <w:lang w:val="en-US" w:eastAsia="zh-CN"/>
        </w:rPr>
        <w:t>提升</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100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基层党建经费。</w:t>
      </w:r>
    </w:p>
    <w:p w14:paraId="52CC2BA7">
      <w:pPr>
        <w:keepNext w:val="0"/>
        <w:keepLines w:val="0"/>
        <w:pageBreakBefore w:val="0"/>
        <w:kinsoku/>
        <w:wordWrap/>
        <w:overflowPunct/>
        <w:topLinePunct w:val="0"/>
        <w:bidi w:val="0"/>
        <w:snapToGrid/>
        <w:spacing w:line="576" w:lineRule="exact"/>
        <w:ind w:firstLine="640" w:firstLineChars="200"/>
        <w:rPr>
          <w:rFonts w:hint="default" w:ascii="仿宋" w:hAnsi="仿宋" w:eastAsia="仿宋_GB2312"/>
          <w:sz w:val="32"/>
          <w:szCs w:val="32"/>
          <w:highlight w:val="none"/>
          <w:lang w:val="en-US" w:eastAsia="zh-CN"/>
        </w:rPr>
      </w:pPr>
      <w:r>
        <w:rPr>
          <w:rFonts w:hint="eastAsia" w:ascii="仿宋" w:hAnsi="仿宋" w:eastAsia="仿宋_GB2312"/>
          <w:sz w:val="32"/>
          <w:szCs w:val="32"/>
          <w:highlight w:val="none"/>
          <w:lang w:val="en-US" w:eastAsia="zh-CN"/>
        </w:rPr>
        <w:t>12.国防</w:t>
      </w:r>
      <w:r>
        <w:rPr>
          <w:rFonts w:hint="eastAsia" w:ascii="仿宋" w:hAnsi="仿宋" w:eastAsia="仿宋_GB2312"/>
          <w:sz w:val="32"/>
          <w:szCs w:val="32"/>
          <w:highlight w:val="none"/>
        </w:rPr>
        <w:t>支出（类）</w:t>
      </w:r>
      <w:r>
        <w:rPr>
          <w:rFonts w:hint="eastAsia" w:ascii="仿宋" w:hAnsi="仿宋" w:eastAsia="仿宋_GB2312"/>
          <w:sz w:val="32"/>
          <w:szCs w:val="32"/>
          <w:highlight w:val="none"/>
          <w:lang w:val="en-US" w:eastAsia="zh-CN"/>
        </w:rPr>
        <w:t>国防动员</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民兵</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1</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年执行数减少</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万元，下降</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人武经费。</w:t>
      </w:r>
    </w:p>
    <w:p w14:paraId="6D6CEF7F">
      <w:pPr>
        <w:keepNext w:val="0"/>
        <w:keepLines w:val="0"/>
        <w:pageBreakBefore w:val="0"/>
        <w:kinsoku/>
        <w:wordWrap/>
        <w:overflowPunct/>
        <w:topLinePunct w:val="0"/>
        <w:bidi w:val="0"/>
        <w:snapToGrid/>
        <w:spacing w:line="576" w:lineRule="exact"/>
        <w:ind w:firstLine="640" w:firstLineChars="200"/>
        <w:rPr>
          <w:rFonts w:hint="default" w:ascii="仿宋" w:hAnsi="仿宋" w:eastAsia="仿宋_GB2312"/>
          <w:sz w:val="32"/>
          <w:szCs w:val="32"/>
          <w:highlight w:val="none"/>
          <w:lang w:val="en-US" w:eastAsia="zh-CN"/>
        </w:rPr>
      </w:pPr>
      <w:r>
        <w:rPr>
          <w:rFonts w:hint="eastAsia" w:ascii="仿宋" w:hAnsi="仿宋" w:eastAsia="仿宋_GB2312"/>
          <w:sz w:val="32"/>
          <w:szCs w:val="32"/>
          <w:highlight w:val="none"/>
          <w:lang w:val="en-US" w:eastAsia="zh-CN"/>
        </w:rPr>
        <w:t>13.文化旅游体育与传媒支出</w:t>
      </w:r>
      <w:r>
        <w:rPr>
          <w:rFonts w:hint="eastAsia" w:ascii="仿宋" w:hAnsi="仿宋" w:eastAsia="仿宋_GB2312"/>
          <w:sz w:val="32"/>
          <w:szCs w:val="32"/>
          <w:highlight w:val="none"/>
        </w:rPr>
        <w:t>（类）</w:t>
      </w:r>
      <w:r>
        <w:rPr>
          <w:rFonts w:hint="eastAsia" w:ascii="仿宋" w:hAnsi="仿宋" w:eastAsia="仿宋_GB2312"/>
          <w:sz w:val="32"/>
          <w:szCs w:val="32"/>
          <w:highlight w:val="none"/>
          <w:lang w:val="en-US" w:eastAsia="zh-CN"/>
        </w:rPr>
        <w:t>文化和旅游</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群众文化</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lang w:val="en-US" w:eastAsia="zh-CN"/>
        </w:rPr>
        <w:t>3.6</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w:t>
      </w:r>
      <w:r>
        <w:rPr>
          <w:rFonts w:hint="eastAsia" w:ascii="仿宋" w:hAnsi="仿宋" w:eastAsia="仿宋_GB2312"/>
          <w:sz w:val="32"/>
          <w:szCs w:val="32"/>
          <w:highlight w:val="none"/>
          <w:lang w:val="en-US" w:eastAsia="zh-CN"/>
        </w:rPr>
        <w:t>增加</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3.6</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w:t>
      </w:r>
      <w:r>
        <w:rPr>
          <w:rFonts w:hint="eastAsia" w:ascii="仿宋" w:hAnsi="仿宋" w:eastAsia="仿宋_GB2312"/>
          <w:sz w:val="32"/>
          <w:szCs w:val="32"/>
          <w:highlight w:val="none"/>
          <w:lang w:val="en-US" w:eastAsia="zh-CN"/>
        </w:rPr>
        <w:t>提升</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100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文化站专项经费。</w:t>
      </w:r>
    </w:p>
    <w:p w14:paraId="0409F1C1">
      <w:pPr>
        <w:keepNext w:val="0"/>
        <w:keepLines w:val="0"/>
        <w:pageBreakBefore w:val="0"/>
        <w:kinsoku/>
        <w:wordWrap/>
        <w:overflowPunct/>
        <w:topLinePunct w:val="0"/>
        <w:bidi w:val="0"/>
        <w:snapToGrid/>
        <w:spacing w:line="576" w:lineRule="exact"/>
        <w:ind w:firstLine="640" w:firstLineChars="200"/>
        <w:rPr>
          <w:rFonts w:hint="eastAsia" w:ascii="仿宋" w:hAnsi="仿宋" w:eastAsia="仿宋_GB2312"/>
          <w:sz w:val="32"/>
          <w:szCs w:val="32"/>
          <w:highlight w:val="none"/>
          <w:lang w:val="en-US" w:eastAsia="zh-CN"/>
        </w:rPr>
      </w:pPr>
      <w:r>
        <w:rPr>
          <w:rFonts w:hint="eastAsia" w:ascii="仿宋" w:hAnsi="仿宋" w:eastAsia="仿宋_GB2312"/>
          <w:sz w:val="32"/>
          <w:szCs w:val="32"/>
          <w:highlight w:val="none"/>
          <w:lang w:val="en-US" w:eastAsia="zh-CN"/>
        </w:rPr>
        <w:t>14.社会保障和就业支出</w:t>
      </w:r>
      <w:r>
        <w:rPr>
          <w:rFonts w:hint="eastAsia" w:ascii="仿宋" w:hAnsi="仿宋" w:eastAsia="仿宋_GB2312"/>
          <w:sz w:val="32"/>
          <w:szCs w:val="32"/>
          <w:highlight w:val="none"/>
        </w:rPr>
        <w:t>（类）</w:t>
      </w:r>
      <w:r>
        <w:rPr>
          <w:rFonts w:hint="eastAsia" w:ascii="仿宋" w:hAnsi="仿宋" w:eastAsia="仿宋_GB2312"/>
          <w:sz w:val="32"/>
          <w:szCs w:val="32"/>
          <w:highlight w:val="none"/>
          <w:lang w:val="en-US" w:eastAsia="zh-CN"/>
        </w:rPr>
        <w:t>行政事业单位养老支出</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机关事业单位基本养老保险缴费支出</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lang w:val="en-US" w:eastAsia="zh-CN"/>
        </w:rPr>
        <w:t>150.69</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w:t>
      </w:r>
      <w:r>
        <w:rPr>
          <w:rFonts w:hint="eastAsia" w:ascii="仿宋" w:hAnsi="仿宋" w:eastAsia="仿宋_GB2312"/>
          <w:sz w:val="32"/>
          <w:szCs w:val="32"/>
          <w:highlight w:val="none"/>
          <w:lang w:val="en-US" w:eastAsia="zh-CN"/>
        </w:rPr>
        <w:t>增加</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8.06</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w:t>
      </w:r>
      <w:r>
        <w:rPr>
          <w:rFonts w:hint="eastAsia" w:ascii="仿宋" w:hAnsi="仿宋" w:eastAsia="仿宋_GB2312"/>
          <w:sz w:val="32"/>
          <w:szCs w:val="32"/>
          <w:highlight w:val="none"/>
          <w:lang w:val="en-US" w:eastAsia="zh-CN"/>
        </w:rPr>
        <w:t>提升</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5.65</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人员增多、基数增加等。</w:t>
      </w:r>
    </w:p>
    <w:p w14:paraId="3BDFE295">
      <w:pPr>
        <w:keepNext w:val="0"/>
        <w:keepLines w:val="0"/>
        <w:pageBreakBefore w:val="0"/>
        <w:kinsoku/>
        <w:wordWrap/>
        <w:overflowPunct/>
        <w:topLinePunct w:val="0"/>
        <w:bidi w:val="0"/>
        <w:snapToGrid/>
        <w:spacing w:line="576" w:lineRule="exact"/>
        <w:ind w:firstLine="640" w:firstLineChars="200"/>
        <w:rPr>
          <w:rFonts w:hint="eastAsia" w:ascii="仿宋" w:hAnsi="仿宋" w:eastAsia="仿宋_GB2312"/>
          <w:sz w:val="32"/>
          <w:szCs w:val="32"/>
          <w:highlight w:val="none"/>
          <w:lang w:val="en-US" w:eastAsia="zh-CN"/>
        </w:rPr>
      </w:pPr>
      <w:r>
        <w:rPr>
          <w:rFonts w:hint="eastAsia" w:ascii="仿宋" w:hAnsi="仿宋" w:eastAsia="仿宋_GB2312"/>
          <w:sz w:val="32"/>
          <w:szCs w:val="32"/>
          <w:highlight w:val="none"/>
          <w:lang w:val="en-US" w:eastAsia="zh-CN"/>
        </w:rPr>
        <w:t>15.社会保障和就业支出</w:t>
      </w:r>
      <w:r>
        <w:rPr>
          <w:rFonts w:hint="eastAsia" w:ascii="仿宋" w:hAnsi="仿宋" w:eastAsia="仿宋_GB2312"/>
          <w:sz w:val="32"/>
          <w:szCs w:val="32"/>
          <w:highlight w:val="none"/>
        </w:rPr>
        <w:t>（类）</w:t>
      </w:r>
      <w:r>
        <w:rPr>
          <w:rFonts w:hint="eastAsia" w:ascii="仿宋" w:hAnsi="仿宋" w:eastAsia="仿宋_GB2312"/>
          <w:sz w:val="32"/>
          <w:szCs w:val="32"/>
          <w:highlight w:val="none"/>
          <w:lang w:val="en-US" w:eastAsia="zh-CN"/>
        </w:rPr>
        <w:t>残疾人事业</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残疾人就业</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lang w:val="en-US" w:eastAsia="zh-CN"/>
        </w:rPr>
        <w:t>6.61</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w:t>
      </w:r>
      <w:r>
        <w:rPr>
          <w:rFonts w:hint="eastAsia" w:ascii="仿宋" w:hAnsi="仿宋" w:eastAsia="仿宋_GB2312"/>
          <w:sz w:val="32"/>
          <w:szCs w:val="32"/>
          <w:highlight w:val="none"/>
          <w:lang w:val="en-US" w:eastAsia="zh-CN"/>
        </w:rPr>
        <w:t>增加</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6.61</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w:t>
      </w:r>
      <w:r>
        <w:rPr>
          <w:rFonts w:hint="eastAsia" w:ascii="仿宋" w:hAnsi="仿宋" w:eastAsia="仿宋_GB2312"/>
          <w:sz w:val="32"/>
          <w:szCs w:val="32"/>
          <w:highlight w:val="none"/>
          <w:lang w:val="en-US" w:eastAsia="zh-CN"/>
        </w:rPr>
        <w:t>提升</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100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残疾人就业相关专项资金。</w:t>
      </w:r>
    </w:p>
    <w:p w14:paraId="50958262">
      <w:pPr>
        <w:keepNext w:val="0"/>
        <w:keepLines w:val="0"/>
        <w:pageBreakBefore w:val="0"/>
        <w:kinsoku/>
        <w:wordWrap/>
        <w:overflowPunct/>
        <w:topLinePunct w:val="0"/>
        <w:bidi w:val="0"/>
        <w:snapToGrid/>
        <w:spacing w:line="576" w:lineRule="exact"/>
        <w:ind w:firstLine="640" w:firstLineChars="200"/>
        <w:rPr>
          <w:rFonts w:hint="default" w:ascii="仿宋" w:hAnsi="仿宋" w:eastAsia="仿宋_GB2312"/>
          <w:sz w:val="32"/>
          <w:szCs w:val="32"/>
          <w:highlight w:val="none"/>
          <w:lang w:val="en-US" w:eastAsia="zh-CN"/>
        </w:rPr>
      </w:pPr>
      <w:r>
        <w:rPr>
          <w:rFonts w:hint="eastAsia" w:ascii="仿宋" w:hAnsi="仿宋" w:eastAsia="仿宋_GB2312"/>
          <w:sz w:val="32"/>
          <w:szCs w:val="32"/>
          <w:highlight w:val="none"/>
          <w:lang w:val="en-US" w:eastAsia="zh-CN"/>
        </w:rPr>
        <w:t>16.卫生健康支出</w:t>
      </w:r>
      <w:r>
        <w:rPr>
          <w:rFonts w:hint="eastAsia" w:ascii="仿宋" w:hAnsi="仿宋" w:eastAsia="仿宋_GB2312"/>
          <w:sz w:val="32"/>
          <w:szCs w:val="32"/>
          <w:highlight w:val="none"/>
        </w:rPr>
        <w:t>（类）</w:t>
      </w:r>
      <w:r>
        <w:rPr>
          <w:rFonts w:hint="eastAsia" w:ascii="仿宋" w:hAnsi="仿宋" w:eastAsia="仿宋_GB2312"/>
          <w:sz w:val="32"/>
          <w:szCs w:val="32"/>
          <w:highlight w:val="none"/>
          <w:lang w:val="en-US" w:eastAsia="zh-CN"/>
        </w:rPr>
        <w:t>行政事业单位医疗</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行政单位医疗</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72.52</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w:t>
      </w:r>
      <w:r>
        <w:rPr>
          <w:rFonts w:hint="eastAsia" w:ascii="仿宋" w:hAnsi="仿宋" w:eastAsia="仿宋_GB2312"/>
          <w:sz w:val="32"/>
          <w:szCs w:val="32"/>
          <w:highlight w:val="none"/>
          <w:lang w:val="en-US" w:eastAsia="zh-CN"/>
        </w:rPr>
        <w:t>增加</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3.88</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w:t>
      </w:r>
      <w:r>
        <w:rPr>
          <w:rFonts w:hint="eastAsia" w:ascii="仿宋" w:hAnsi="仿宋" w:eastAsia="仿宋_GB2312"/>
          <w:sz w:val="32"/>
          <w:szCs w:val="32"/>
          <w:highlight w:val="none"/>
          <w:lang w:val="en-US" w:eastAsia="zh-CN"/>
        </w:rPr>
        <w:t>提升</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5.65</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新录用干部和临聘人员增加。</w:t>
      </w:r>
    </w:p>
    <w:p w14:paraId="363D105C">
      <w:pPr>
        <w:keepNext w:val="0"/>
        <w:keepLines w:val="0"/>
        <w:pageBreakBefore w:val="0"/>
        <w:kinsoku/>
        <w:wordWrap/>
        <w:overflowPunct/>
        <w:topLinePunct w:val="0"/>
        <w:bidi w:val="0"/>
        <w:snapToGrid/>
        <w:spacing w:line="576" w:lineRule="exact"/>
        <w:ind w:firstLine="640" w:firstLineChars="200"/>
        <w:rPr>
          <w:rFonts w:hint="eastAsia" w:ascii="仿宋" w:hAnsi="仿宋" w:eastAsia="仿宋_GB2312"/>
          <w:sz w:val="32"/>
          <w:szCs w:val="32"/>
          <w:highlight w:val="none"/>
          <w:lang w:val="en-US" w:eastAsia="zh-CN"/>
        </w:rPr>
      </w:pPr>
      <w:r>
        <w:rPr>
          <w:rFonts w:hint="eastAsia" w:ascii="仿宋" w:hAnsi="仿宋" w:eastAsia="仿宋_GB2312"/>
          <w:sz w:val="32"/>
          <w:szCs w:val="32"/>
          <w:highlight w:val="none"/>
          <w:lang w:val="en-US" w:eastAsia="zh-CN"/>
        </w:rPr>
        <w:t>17.卫生健康支出</w:t>
      </w:r>
      <w:r>
        <w:rPr>
          <w:rFonts w:hint="eastAsia" w:ascii="仿宋" w:hAnsi="仿宋" w:eastAsia="仿宋_GB2312"/>
          <w:sz w:val="32"/>
          <w:szCs w:val="32"/>
          <w:highlight w:val="none"/>
        </w:rPr>
        <w:t>（类）</w:t>
      </w:r>
      <w:r>
        <w:rPr>
          <w:rFonts w:hint="eastAsia" w:ascii="仿宋" w:hAnsi="仿宋" w:eastAsia="仿宋_GB2312"/>
          <w:sz w:val="32"/>
          <w:szCs w:val="32"/>
          <w:highlight w:val="none"/>
          <w:lang w:val="en-US" w:eastAsia="zh-CN"/>
        </w:rPr>
        <w:t>行政事业单位医疗</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公务员医疗补助</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18.84</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w:t>
      </w:r>
      <w:r>
        <w:rPr>
          <w:rFonts w:hint="eastAsia" w:ascii="仿宋" w:hAnsi="仿宋" w:eastAsia="仿宋_GB2312"/>
          <w:sz w:val="32"/>
          <w:szCs w:val="32"/>
          <w:highlight w:val="none"/>
          <w:lang w:val="en-US" w:eastAsia="zh-CN"/>
        </w:rPr>
        <w:t>增加</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1.01</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w:t>
      </w:r>
      <w:r>
        <w:rPr>
          <w:rFonts w:hint="eastAsia" w:ascii="仿宋" w:hAnsi="仿宋" w:eastAsia="仿宋_GB2312"/>
          <w:sz w:val="32"/>
          <w:szCs w:val="32"/>
          <w:highlight w:val="none"/>
          <w:lang w:val="en-US" w:eastAsia="zh-CN"/>
        </w:rPr>
        <w:t>提升</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5.66</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%。主要是主要是</w:t>
      </w:r>
      <w:r>
        <w:rPr>
          <w:rFonts w:hint="eastAsia" w:ascii="仿宋" w:hAnsi="仿宋" w:eastAsia="仿宋_GB2312"/>
          <w:sz w:val="32"/>
          <w:szCs w:val="32"/>
          <w:highlight w:val="none"/>
          <w:lang w:val="en-US" w:eastAsia="zh-CN"/>
        </w:rPr>
        <w:t>新录用干部增加。</w:t>
      </w:r>
    </w:p>
    <w:p w14:paraId="01DA2D4A">
      <w:pPr>
        <w:keepNext w:val="0"/>
        <w:keepLines w:val="0"/>
        <w:pageBreakBefore w:val="0"/>
        <w:kinsoku/>
        <w:wordWrap/>
        <w:overflowPunct/>
        <w:topLinePunct w:val="0"/>
        <w:bidi w:val="0"/>
        <w:snapToGrid/>
        <w:spacing w:line="576" w:lineRule="exact"/>
        <w:ind w:firstLine="640" w:firstLineChars="200"/>
        <w:rPr>
          <w:rFonts w:hint="eastAsia" w:ascii="仿宋" w:hAnsi="仿宋" w:eastAsia="仿宋_GB2312"/>
          <w:sz w:val="32"/>
          <w:szCs w:val="32"/>
          <w:highlight w:val="none"/>
          <w:lang w:val="en-US" w:eastAsia="zh-CN"/>
        </w:rPr>
      </w:pPr>
      <w:r>
        <w:rPr>
          <w:rFonts w:hint="eastAsia" w:ascii="仿宋" w:hAnsi="仿宋" w:eastAsia="仿宋_GB2312"/>
          <w:sz w:val="32"/>
          <w:szCs w:val="32"/>
          <w:highlight w:val="none"/>
          <w:lang w:val="en-US" w:eastAsia="zh-CN"/>
        </w:rPr>
        <w:t>18.节能环保支出</w:t>
      </w:r>
      <w:r>
        <w:rPr>
          <w:rFonts w:hint="eastAsia" w:ascii="仿宋" w:hAnsi="仿宋" w:eastAsia="仿宋_GB2312"/>
          <w:sz w:val="32"/>
          <w:szCs w:val="32"/>
          <w:highlight w:val="none"/>
        </w:rPr>
        <w:t>（类）</w:t>
      </w:r>
      <w:r>
        <w:rPr>
          <w:rFonts w:hint="eastAsia" w:ascii="仿宋" w:hAnsi="仿宋" w:eastAsia="仿宋_GB2312"/>
          <w:sz w:val="32"/>
          <w:szCs w:val="32"/>
          <w:highlight w:val="none"/>
          <w:lang w:val="en-US" w:eastAsia="zh-CN"/>
        </w:rPr>
        <w:t>自然生态保护</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农村环境保护</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lang w:val="en-US" w:eastAsia="zh-CN"/>
        </w:rPr>
        <w:t>5.5</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w:t>
      </w:r>
      <w:r>
        <w:rPr>
          <w:rFonts w:hint="eastAsia" w:ascii="仿宋" w:hAnsi="仿宋" w:eastAsia="仿宋_GB2312"/>
          <w:sz w:val="32"/>
          <w:szCs w:val="32"/>
          <w:highlight w:val="none"/>
          <w:lang w:val="en-US" w:eastAsia="zh-CN"/>
        </w:rPr>
        <w:t>增加</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5.5</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w:t>
      </w:r>
      <w:r>
        <w:rPr>
          <w:rFonts w:hint="eastAsia" w:ascii="仿宋" w:hAnsi="仿宋" w:eastAsia="仿宋_GB2312"/>
          <w:sz w:val="32"/>
          <w:szCs w:val="32"/>
          <w:highlight w:val="none"/>
          <w:lang w:val="en-US" w:eastAsia="zh-CN"/>
        </w:rPr>
        <w:t>提升</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100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旅游环境卫生综合整治经费。</w:t>
      </w:r>
    </w:p>
    <w:p w14:paraId="7CD8ED6C">
      <w:pPr>
        <w:keepNext w:val="0"/>
        <w:keepLines w:val="0"/>
        <w:pageBreakBefore w:val="0"/>
        <w:kinsoku/>
        <w:wordWrap/>
        <w:overflowPunct/>
        <w:topLinePunct w:val="0"/>
        <w:bidi w:val="0"/>
        <w:snapToGrid/>
        <w:spacing w:line="576" w:lineRule="exact"/>
        <w:ind w:firstLine="640" w:firstLineChars="200"/>
        <w:rPr>
          <w:rFonts w:hint="eastAsia" w:ascii="仿宋" w:hAnsi="仿宋" w:eastAsia="仿宋_GB2312"/>
          <w:sz w:val="32"/>
          <w:szCs w:val="32"/>
          <w:highlight w:val="none"/>
          <w:lang w:eastAsia="zh-CN"/>
        </w:rPr>
      </w:pPr>
      <w:r>
        <w:rPr>
          <w:rFonts w:hint="eastAsia" w:ascii="仿宋" w:hAnsi="仿宋" w:eastAsia="仿宋_GB2312"/>
          <w:sz w:val="32"/>
          <w:szCs w:val="32"/>
          <w:highlight w:val="none"/>
          <w:lang w:val="en-US" w:eastAsia="zh-CN"/>
        </w:rPr>
        <w:t>19.农林水支出</w:t>
      </w:r>
      <w:r>
        <w:rPr>
          <w:rFonts w:hint="eastAsia" w:ascii="仿宋" w:hAnsi="仿宋" w:eastAsia="仿宋_GB2312"/>
          <w:sz w:val="32"/>
          <w:szCs w:val="32"/>
          <w:highlight w:val="none"/>
        </w:rPr>
        <w:t>（类）</w:t>
      </w:r>
      <w:r>
        <w:rPr>
          <w:rFonts w:hint="eastAsia" w:ascii="仿宋" w:hAnsi="仿宋" w:eastAsia="仿宋_GB2312"/>
          <w:sz w:val="32"/>
          <w:szCs w:val="32"/>
          <w:highlight w:val="none"/>
          <w:lang w:val="en-US" w:eastAsia="zh-CN"/>
        </w:rPr>
        <w:t>林业和草原</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林业草原防灾减灾</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4</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年执行数减少</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万元，下降</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森防资金。</w:t>
      </w:r>
    </w:p>
    <w:p w14:paraId="6A4CD2D1">
      <w:pPr>
        <w:keepNext w:val="0"/>
        <w:keepLines w:val="0"/>
        <w:pageBreakBefore w:val="0"/>
        <w:kinsoku/>
        <w:wordWrap/>
        <w:overflowPunct/>
        <w:topLinePunct w:val="0"/>
        <w:bidi w:val="0"/>
        <w:snapToGrid/>
        <w:spacing w:line="576" w:lineRule="exact"/>
        <w:ind w:firstLine="640" w:firstLineChars="200"/>
        <w:rPr>
          <w:rFonts w:hint="default" w:ascii="仿宋" w:hAnsi="仿宋" w:eastAsia="仿宋_GB2312"/>
          <w:sz w:val="32"/>
          <w:szCs w:val="32"/>
          <w:highlight w:val="none"/>
          <w:lang w:val="en-US" w:eastAsia="zh-CN"/>
        </w:rPr>
      </w:pPr>
      <w:r>
        <w:rPr>
          <w:rFonts w:hint="eastAsia" w:ascii="仿宋" w:hAnsi="仿宋" w:eastAsia="仿宋_GB2312"/>
          <w:sz w:val="32"/>
          <w:szCs w:val="32"/>
          <w:highlight w:val="none"/>
          <w:lang w:val="en-US" w:eastAsia="zh-CN"/>
        </w:rPr>
        <w:t>20.农林水支出</w:t>
      </w:r>
      <w:r>
        <w:rPr>
          <w:rFonts w:hint="eastAsia" w:ascii="仿宋" w:hAnsi="仿宋" w:eastAsia="仿宋_GB2312"/>
          <w:sz w:val="32"/>
          <w:szCs w:val="32"/>
          <w:highlight w:val="none"/>
        </w:rPr>
        <w:t>（类）</w:t>
      </w:r>
      <w:r>
        <w:rPr>
          <w:rFonts w:hint="eastAsia" w:ascii="仿宋" w:hAnsi="仿宋" w:eastAsia="仿宋_GB2312"/>
          <w:sz w:val="32"/>
          <w:szCs w:val="32"/>
          <w:highlight w:val="none"/>
          <w:lang w:val="en-US" w:eastAsia="zh-CN"/>
        </w:rPr>
        <w:t>水利</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其他水利支出</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lang w:val="en-US" w:eastAsia="zh-CN"/>
        </w:rPr>
        <w:t>1</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年执行数减少</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2</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万元，下降</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66.66</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调减河长工作经费。</w:t>
      </w:r>
    </w:p>
    <w:p w14:paraId="480E2AF2">
      <w:pPr>
        <w:keepNext w:val="0"/>
        <w:keepLines w:val="0"/>
        <w:pageBreakBefore w:val="0"/>
        <w:kinsoku/>
        <w:wordWrap/>
        <w:overflowPunct/>
        <w:topLinePunct w:val="0"/>
        <w:bidi w:val="0"/>
        <w:snapToGrid/>
        <w:spacing w:line="576" w:lineRule="exact"/>
        <w:ind w:firstLine="640" w:firstLineChars="200"/>
        <w:rPr>
          <w:rFonts w:hint="default" w:ascii="仿宋" w:hAnsi="仿宋" w:eastAsia="仿宋_GB2312"/>
          <w:sz w:val="32"/>
          <w:szCs w:val="32"/>
          <w:highlight w:val="none"/>
          <w:lang w:val="en-US" w:eastAsia="zh-CN"/>
        </w:rPr>
      </w:pPr>
      <w:r>
        <w:rPr>
          <w:rFonts w:hint="eastAsia" w:ascii="仿宋" w:hAnsi="仿宋" w:eastAsia="仿宋_GB2312"/>
          <w:sz w:val="32"/>
          <w:szCs w:val="32"/>
          <w:highlight w:val="none"/>
          <w:lang w:val="en-US" w:eastAsia="zh-CN"/>
        </w:rPr>
        <w:t>21.农林水支出</w:t>
      </w:r>
      <w:r>
        <w:rPr>
          <w:rFonts w:hint="eastAsia" w:ascii="仿宋" w:hAnsi="仿宋" w:eastAsia="仿宋_GB2312"/>
          <w:sz w:val="32"/>
          <w:szCs w:val="32"/>
          <w:highlight w:val="none"/>
        </w:rPr>
        <w:t>（类）</w:t>
      </w:r>
      <w:r>
        <w:rPr>
          <w:rFonts w:hint="eastAsia" w:ascii="仿宋" w:hAnsi="仿宋" w:eastAsia="仿宋_GB2312"/>
          <w:sz w:val="32"/>
          <w:szCs w:val="32"/>
          <w:highlight w:val="none"/>
          <w:lang w:val="en-US" w:eastAsia="zh-CN"/>
        </w:rPr>
        <w:t>农村综合改革</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对村民委员会和村党支部的补助</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30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年执行数减少</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20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万元，下降</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40</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按行政规划文件新划分全乡村居，导致经费减少。</w:t>
      </w:r>
    </w:p>
    <w:p w14:paraId="4F096201">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lang w:val="en-US" w:eastAsia="zh-CN"/>
        </w:rPr>
        <w:t>22.住房保障支出</w:t>
      </w:r>
      <w:r>
        <w:rPr>
          <w:rFonts w:hint="eastAsia" w:ascii="仿宋" w:hAnsi="仿宋" w:eastAsia="仿宋_GB2312"/>
          <w:sz w:val="32"/>
          <w:szCs w:val="32"/>
          <w:highlight w:val="none"/>
        </w:rPr>
        <w:t>（类）</w:t>
      </w:r>
      <w:r>
        <w:rPr>
          <w:rFonts w:hint="eastAsia" w:ascii="仿宋" w:hAnsi="仿宋" w:eastAsia="仿宋_GB2312"/>
          <w:sz w:val="32"/>
          <w:szCs w:val="32"/>
          <w:highlight w:val="none"/>
          <w:lang w:val="en-US" w:eastAsia="zh-CN"/>
        </w:rPr>
        <w:t>住房改革支出</w:t>
      </w:r>
      <w:r>
        <w:rPr>
          <w:rFonts w:hint="eastAsia" w:ascii="仿宋" w:hAnsi="仿宋" w:eastAsia="仿宋_GB2312"/>
          <w:sz w:val="32"/>
          <w:szCs w:val="32"/>
          <w:highlight w:val="none"/>
        </w:rPr>
        <w:t>（款）</w:t>
      </w:r>
      <w:r>
        <w:rPr>
          <w:rFonts w:hint="eastAsia" w:ascii="仿宋" w:hAnsi="仿宋" w:eastAsia="仿宋_GB2312"/>
          <w:sz w:val="32"/>
          <w:szCs w:val="32"/>
          <w:highlight w:val="none"/>
          <w:lang w:val="en-US" w:eastAsia="zh-CN"/>
        </w:rPr>
        <w:t>住房公积金</w:t>
      </w:r>
      <w:r>
        <w:rPr>
          <w:rFonts w:hint="eastAsia" w:ascii="仿宋" w:hAnsi="仿宋" w:eastAsia="仿宋_GB2312"/>
          <w:sz w:val="32"/>
          <w:szCs w:val="32"/>
          <w:highlight w:val="none"/>
        </w:rPr>
        <w:t>（项）预算数为</w:t>
      </w:r>
      <w:r>
        <w:rPr>
          <w:rFonts w:hint="eastAsia" w:ascii="仿宋" w:hAnsi="仿宋" w:eastAsia="仿宋_GB2312"/>
          <w:sz w:val="32"/>
          <w:szCs w:val="32"/>
          <w:highlight w:val="none"/>
          <w:u w:val="single"/>
          <w:lang w:val="en-US" w:eastAsia="zh-CN"/>
        </w:rPr>
        <w:t>113.02</w:t>
      </w:r>
      <w:r>
        <w:rPr>
          <w:rFonts w:hint="eastAsia" w:ascii="仿宋" w:hAnsi="仿宋" w:eastAsia="仿宋_GB2312"/>
          <w:sz w:val="32"/>
          <w:szCs w:val="32"/>
          <w:highlight w:val="none"/>
        </w:rPr>
        <w:t>万元，比</w:t>
      </w:r>
      <w:r>
        <w:rPr>
          <w:rFonts w:hint="eastAsia" w:ascii="仿宋" w:hAnsi="仿宋" w:eastAsia="仿宋_GB2312"/>
          <w:sz w:val="32"/>
          <w:szCs w:val="32"/>
          <w:highlight w:val="none"/>
          <w:lang w:eastAsia="zh-CN"/>
        </w:rPr>
        <w:t>2024</w:t>
      </w:r>
      <w:r>
        <w:rPr>
          <w:rFonts w:hint="eastAsia" w:ascii="仿宋" w:hAnsi="仿宋" w:eastAsia="仿宋_GB2312"/>
          <w:sz w:val="32"/>
          <w:szCs w:val="32"/>
          <w:highlight w:val="none"/>
        </w:rPr>
        <w:t xml:space="preserve"> 年执行数</w:t>
      </w:r>
      <w:r>
        <w:rPr>
          <w:rFonts w:hint="eastAsia" w:ascii="仿宋" w:hAnsi="仿宋" w:eastAsia="仿宋_GB2312"/>
          <w:sz w:val="32"/>
          <w:szCs w:val="32"/>
          <w:highlight w:val="none"/>
          <w:lang w:val="en-US" w:eastAsia="zh-CN"/>
        </w:rPr>
        <w:t>增加</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6.05</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万元，</w:t>
      </w:r>
      <w:r>
        <w:rPr>
          <w:rFonts w:hint="eastAsia" w:ascii="仿宋" w:hAnsi="仿宋" w:eastAsia="仿宋_GB2312"/>
          <w:sz w:val="32"/>
          <w:szCs w:val="32"/>
          <w:highlight w:val="none"/>
          <w:lang w:val="en-US" w:eastAsia="zh-CN"/>
        </w:rPr>
        <w:t>提升</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u w:val="single"/>
          <w:lang w:val="en-US" w:eastAsia="zh-CN"/>
        </w:rPr>
        <w:t>5.65</w:t>
      </w:r>
      <w:r>
        <w:rPr>
          <w:rFonts w:hint="eastAsia" w:ascii="仿宋" w:hAnsi="仿宋" w:eastAsia="仿宋_GB2312"/>
          <w:sz w:val="32"/>
          <w:szCs w:val="32"/>
          <w:highlight w:val="none"/>
          <w:u w:val="single"/>
        </w:rPr>
        <w:t xml:space="preserve"> </w:t>
      </w:r>
      <w:r>
        <w:rPr>
          <w:rFonts w:hint="eastAsia" w:ascii="仿宋" w:hAnsi="仿宋" w:eastAsia="仿宋_GB2312"/>
          <w:sz w:val="32"/>
          <w:szCs w:val="32"/>
          <w:highlight w:val="none"/>
        </w:rPr>
        <w:t xml:space="preserve"> %。主要是</w:t>
      </w:r>
      <w:r>
        <w:rPr>
          <w:rFonts w:hint="eastAsia" w:ascii="仿宋" w:hAnsi="仿宋" w:eastAsia="仿宋_GB2312"/>
          <w:sz w:val="32"/>
          <w:szCs w:val="32"/>
          <w:highlight w:val="none"/>
          <w:lang w:val="en-US" w:eastAsia="zh-CN"/>
        </w:rPr>
        <w:t>新录用干部增加。</w:t>
      </w:r>
    </w:p>
    <w:p w14:paraId="6690958B">
      <w:pPr>
        <w:keepNext w:val="0"/>
        <w:keepLines w:val="0"/>
        <w:pageBreakBefore w:val="0"/>
        <w:kinsoku/>
        <w:wordWrap/>
        <w:overflowPunct/>
        <w:topLinePunct w:val="0"/>
        <w:bidi w:val="0"/>
        <w:snapToGrid/>
        <w:spacing w:line="576" w:lineRule="exact"/>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14:paraId="16C0B049">
      <w:pPr>
        <w:keepNext w:val="0"/>
        <w:keepLines w:val="0"/>
        <w:pageBreakBefore w:val="0"/>
        <w:kinsoku/>
        <w:wordWrap/>
        <w:overflowPunct/>
        <w:topLinePunct w:val="0"/>
        <w:bidi w:val="0"/>
        <w:snapToGrid/>
        <w:spacing w:line="576" w:lineRule="exact"/>
        <w:ind w:firstLine="640" w:firstLineChars="200"/>
        <w:rPr>
          <w:rFonts w:hint="eastAsia" w:ascii="仿宋" w:hAnsi="仿宋" w:eastAsia="仿宋_GB2312"/>
          <w:sz w:val="32"/>
          <w:szCs w:val="32"/>
        </w:rPr>
      </w:pPr>
      <w:r>
        <w:rPr>
          <w:rFonts w:hint="eastAsia" w:ascii="仿宋" w:hAnsi="仿宋" w:eastAsia="仿宋_GB2312"/>
          <w:sz w:val="32"/>
          <w:szCs w:val="32"/>
          <w:lang w:eastAsia="zh-CN"/>
        </w:rPr>
        <w:t>2025</w:t>
      </w:r>
      <w:r>
        <w:rPr>
          <w:rFonts w:hint="eastAsia" w:ascii="仿宋" w:hAnsi="仿宋" w:eastAsia="仿宋_GB2312"/>
          <w:sz w:val="32"/>
          <w:szCs w:val="32"/>
        </w:rPr>
        <w:t>年一般公共预算基本支出</w:t>
      </w:r>
      <w:r>
        <w:rPr>
          <w:rFonts w:hint="eastAsia" w:ascii="仿宋" w:hAnsi="仿宋" w:eastAsia="仿宋_GB2312"/>
          <w:sz w:val="32"/>
          <w:szCs w:val="32"/>
          <w:u w:val="single"/>
          <w:lang w:val="en-US" w:eastAsia="zh-CN"/>
        </w:rPr>
        <w:t>1447.11</w:t>
      </w:r>
      <w:r>
        <w:rPr>
          <w:rFonts w:hint="eastAsia" w:ascii="仿宋" w:hAnsi="仿宋" w:eastAsia="仿宋_GB2312"/>
          <w:sz w:val="32"/>
          <w:szCs w:val="32"/>
        </w:rPr>
        <w:t>万元，其中：</w:t>
      </w:r>
    </w:p>
    <w:p w14:paraId="3346884F">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r>
        <w:rPr>
          <w:rFonts w:hint="eastAsia" w:ascii="仿宋" w:hAnsi="仿宋" w:eastAsia="仿宋_GB2312"/>
          <w:sz w:val="32"/>
          <w:szCs w:val="32"/>
        </w:rPr>
        <w:t>人员经费</w:t>
      </w:r>
      <w:r>
        <w:rPr>
          <w:rFonts w:hint="eastAsia" w:ascii="仿宋" w:hAnsi="仿宋" w:eastAsia="仿宋_GB2312"/>
          <w:sz w:val="32"/>
          <w:szCs w:val="32"/>
          <w:u w:val="single"/>
          <w:lang w:val="en-US" w:eastAsia="zh-CN"/>
        </w:rPr>
        <w:t>1370.96</w:t>
      </w:r>
      <w:bookmarkStart w:id="0" w:name="_GoBack"/>
      <w:bookmarkEnd w:id="0"/>
      <w:r>
        <w:rPr>
          <w:rFonts w:hint="eastAsia" w:ascii="仿宋" w:hAnsi="仿宋" w:eastAsia="仿宋_GB2312"/>
          <w:sz w:val="32"/>
          <w:szCs w:val="32"/>
        </w:rPr>
        <w:t>万元，主要包括（以下</w:t>
      </w:r>
      <w:r>
        <w:rPr>
          <w:rFonts w:ascii="仿宋" w:hAnsi="仿宋" w:eastAsia="仿宋_GB2312"/>
          <w:sz w:val="32"/>
          <w:szCs w:val="32"/>
        </w:rPr>
        <w:t>内容</w:t>
      </w:r>
      <w:r>
        <w:rPr>
          <w:rFonts w:hint="eastAsia" w:ascii="仿宋" w:hAnsi="仿宋" w:eastAsia="仿宋_GB2312"/>
          <w:sz w:val="32"/>
          <w:szCs w:val="32"/>
        </w:rPr>
        <w:t>根据</w:t>
      </w:r>
      <w:r>
        <w:rPr>
          <w:rFonts w:ascii="仿宋" w:hAnsi="仿宋" w:eastAsia="仿宋_GB2312"/>
          <w:sz w:val="32"/>
          <w:szCs w:val="32"/>
        </w:rPr>
        <w:t>部门具体情况进行</w:t>
      </w:r>
      <w:r>
        <w:rPr>
          <w:rFonts w:hint="eastAsia" w:ascii="仿宋" w:hAnsi="仿宋" w:eastAsia="仿宋_GB2312"/>
          <w:sz w:val="32"/>
          <w:szCs w:val="32"/>
        </w:rPr>
        <w:t>填列</w:t>
      </w:r>
      <w:r>
        <w:rPr>
          <w:rFonts w:ascii="仿宋" w:hAnsi="仿宋" w:eastAsia="仿宋_GB2312"/>
          <w:sz w:val="32"/>
          <w:szCs w:val="32"/>
        </w:rPr>
        <w:t>）</w:t>
      </w:r>
      <w:r>
        <w:rPr>
          <w:rFonts w:hint="eastAsia" w:ascii="仿宋" w:hAnsi="仿宋" w:eastAsia="仿宋_GB2312"/>
          <w:sz w:val="32"/>
          <w:szCs w:val="32"/>
        </w:rPr>
        <w:t>：</w:t>
      </w:r>
      <w:r>
        <w:rPr>
          <w:rFonts w:ascii="仿宋" w:hAnsi="仿宋" w:eastAsia="仿宋_GB2312"/>
          <w:sz w:val="32"/>
          <w:szCs w:val="32"/>
        </w:rPr>
        <w:t>工资性支出</w:t>
      </w:r>
      <w:r>
        <w:rPr>
          <w:rFonts w:hint="eastAsia" w:ascii="仿宋" w:hAnsi="仿宋" w:eastAsia="仿宋_GB2312"/>
          <w:sz w:val="32"/>
          <w:szCs w:val="32"/>
        </w:rPr>
        <w:t>（基本工资、津贴补贴、奖金</w:t>
      </w:r>
      <w:r>
        <w:rPr>
          <w:rFonts w:ascii="仿宋" w:hAnsi="仿宋" w:eastAsia="仿宋_GB2312"/>
          <w:sz w:val="32"/>
          <w:szCs w:val="32"/>
        </w:rPr>
        <w:t>）</w:t>
      </w:r>
      <w:r>
        <w:rPr>
          <w:rFonts w:hint="eastAsia" w:ascii="仿宋" w:hAnsi="仿宋" w:eastAsia="仿宋_GB2312"/>
          <w:sz w:val="32"/>
          <w:szCs w:val="32"/>
        </w:rPr>
        <w:t>、</w:t>
      </w:r>
      <w:r>
        <w:rPr>
          <w:rFonts w:ascii="仿宋" w:hAnsi="仿宋" w:eastAsia="仿宋_GB2312"/>
          <w:sz w:val="32"/>
          <w:szCs w:val="32"/>
        </w:rPr>
        <w:t>机关事业单位养老保险缴费</w:t>
      </w:r>
      <w:r>
        <w:rPr>
          <w:rFonts w:hint="eastAsia" w:ascii="仿宋" w:hAnsi="仿宋" w:eastAsia="仿宋_GB2312"/>
          <w:sz w:val="32"/>
          <w:szCs w:val="32"/>
        </w:rPr>
        <w:t>、</w:t>
      </w:r>
      <w:r>
        <w:rPr>
          <w:rFonts w:ascii="仿宋" w:hAnsi="仿宋" w:eastAsia="仿宋_GB2312"/>
          <w:sz w:val="32"/>
          <w:szCs w:val="32"/>
        </w:rPr>
        <w:t>城镇职工基本医疗保险缴费</w:t>
      </w:r>
      <w:r>
        <w:rPr>
          <w:rFonts w:hint="eastAsia" w:ascii="仿宋" w:hAnsi="仿宋" w:eastAsia="仿宋_GB2312"/>
          <w:sz w:val="32"/>
          <w:szCs w:val="32"/>
        </w:rPr>
        <w:t>、</w:t>
      </w:r>
      <w:r>
        <w:rPr>
          <w:rFonts w:ascii="仿宋" w:hAnsi="仿宋" w:eastAsia="仿宋_GB2312"/>
          <w:sz w:val="32"/>
          <w:szCs w:val="32"/>
        </w:rPr>
        <w:t>公务员医疗补助</w:t>
      </w:r>
      <w:r>
        <w:rPr>
          <w:rFonts w:hint="eastAsia" w:ascii="仿宋" w:hAnsi="仿宋" w:eastAsia="仿宋_GB2312"/>
          <w:sz w:val="32"/>
          <w:szCs w:val="32"/>
        </w:rPr>
        <w:t>、</w:t>
      </w:r>
      <w:r>
        <w:rPr>
          <w:rFonts w:ascii="仿宋" w:hAnsi="仿宋" w:eastAsia="仿宋_GB2312"/>
          <w:sz w:val="32"/>
          <w:szCs w:val="32"/>
        </w:rPr>
        <w:t>其他社会保险缴费</w:t>
      </w:r>
      <w:r>
        <w:rPr>
          <w:rFonts w:hint="eastAsia" w:ascii="仿宋" w:hAnsi="仿宋" w:eastAsia="仿宋_GB2312"/>
          <w:sz w:val="32"/>
          <w:szCs w:val="32"/>
        </w:rPr>
        <w:t>（</w:t>
      </w:r>
      <w:r>
        <w:rPr>
          <w:rFonts w:ascii="仿宋" w:hAnsi="仿宋" w:eastAsia="仿宋_GB2312"/>
          <w:sz w:val="32"/>
          <w:szCs w:val="32"/>
        </w:rPr>
        <w:t>失业保险</w:t>
      </w:r>
      <w:r>
        <w:rPr>
          <w:rFonts w:hint="eastAsia" w:ascii="仿宋" w:hAnsi="仿宋" w:eastAsia="仿宋_GB2312"/>
          <w:sz w:val="32"/>
          <w:szCs w:val="32"/>
        </w:rPr>
        <w:t>、</w:t>
      </w:r>
      <w:r>
        <w:rPr>
          <w:rFonts w:ascii="仿宋" w:hAnsi="仿宋" w:eastAsia="仿宋_GB2312"/>
          <w:sz w:val="32"/>
          <w:szCs w:val="32"/>
        </w:rPr>
        <w:t>工伤保险）</w:t>
      </w:r>
      <w:r>
        <w:rPr>
          <w:rFonts w:hint="eastAsia" w:ascii="仿宋" w:hAnsi="仿宋" w:eastAsia="仿宋_GB2312"/>
          <w:sz w:val="32"/>
          <w:szCs w:val="32"/>
        </w:rPr>
        <w:t>、</w:t>
      </w:r>
      <w:r>
        <w:rPr>
          <w:rFonts w:ascii="仿宋" w:hAnsi="仿宋" w:eastAsia="仿宋_GB2312"/>
          <w:sz w:val="32"/>
          <w:szCs w:val="32"/>
        </w:rPr>
        <w:t>其他工资福利支出</w:t>
      </w:r>
      <w:r>
        <w:rPr>
          <w:rFonts w:hint="eastAsia" w:ascii="仿宋" w:hAnsi="仿宋" w:eastAsia="仿宋_GB2312"/>
          <w:sz w:val="32"/>
          <w:szCs w:val="32"/>
        </w:rPr>
        <w:t>（</w:t>
      </w:r>
      <w:r>
        <w:rPr>
          <w:rFonts w:ascii="仿宋" w:hAnsi="仿宋" w:eastAsia="仿宋_GB2312"/>
          <w:sz w:val="32"/>
          <w:szCs w:val="32"/>
        </w:rPr>
        <w:t>个人取暖费</w:t>
      </w:r>
      <w:r>
        <w:rPr>
          <w:rFonts w:hint="eastAsia" w:ascii="仿宋" w:hAnsi="仿宋" w:eastAsia="仿宋_GB2312"/>
          <w:sz w:val="32"/>
          <w:szCs w:val="32"/>
        </w:rPr>
        <w:t>、</w:t>
      </w:r>
      <w:r>
        <w:rPr>
          <w:rFonts w:ascii="仿宋" w:hAnsi="仿宋" w:eastAsia="仿宋_GB2312"/>
          <w:sz w:val="32"/>
          <w:szCs w:val="32"/>
        </w:rPr>
        <w:t>独生子女费</w:t>
      </w:r>
      <w:r>
        <w:rPr>
          <w:rFonts w:hint="eastAsia" w:ascii="仿宋" w:hAnsi="仿宋" w:eastAsia="仿宋_GB2312"/>
          <w:sz w:val="32"/>
          <w:szCs w:val="32"/>
        </w:rPr>
        <w:t>、</w:t>
      </w:r>
      <w:r>
        <w:rPr>
          <w:rFonts w:ascii="仿宋" w:hAnsi="仿宋" w:eastAsia="仿宋_GB2312"/>
          <w:sz w:val="32"/>
          <w:szCs w:val="32"/>
        </w:rPr>
        <w:t>煤油补贴</w:t>
      </w:r>
      <w:r>
        <w:rPr>
          <w:rFonts w:hint="eastAsia" w:ascii="仿宋" w:hAnsi="仿宋" w:eastAsia="仿宋_GB2312"/>
          <w:sz w:val="32"/>
          <w:szCs w:val="32"/>
        </w:rPr>
        <w:t>、</w:t>
      </w:r>
      <w:r>
        <w:rPr>
          <w:rFonts w:ascii="仿宋" w:hAnsi="仿宋" w:eastAsia="仿宋_GB2312"/>
          <w:sz w:val="32"/>
          <w:szCs w:val="32"/>
        </w:rPr>
        <w:t>加班补助</w:t>
      </w:r>
      <w:r>
        <w:rPr>
          <w:rFonts w:hint="eastAsia" w:ascii="仿宋" w:hAnsi="仿宋" w:eastAsia="仿宋_GB2312"/>
          <w:sz w:val="32"/>
          <w:szCs w:val="32"/>
        </w:rPr>
        <w:t>、</w:t>
      </w:r>
      <w:r>
        <w:rPr>
          <w:rFonts w:ascii="仿宋" w:hAnsi="仿宋" w:eastAsia="仿宋_GB2312"/>
          <w:sz w:val="32"/>
          <w:szCs w:val="32"/>
        </w:rPr>
        <w:t>休假探亲费</w:t>
      </w:r>
      <w:r>
        <w:rPr>
          <w:rFonts w:hint="eastAsia" w:ascii="仿宋" w:hAnsi="仿宋" w:eastAsia="仿宋_GB2312"/>
          <w:sz w:val="32"/>
          <w:szCs w:val="32"/>
        </w:rPr>
        <w:t>、</w:t>
      </w:r>
      <w:r>
        <w:rPr>
          <w:rFonts w:ascii="仿宋" w:hAnsi="仿宋" w:eastAsia="仿宋_GB2312"/>
          <w:sz w:val="32"/>
          <w:szCs w:val="32"/>
        </w:rPr>
        <w:t>乡镇教职工生活补助</w:t>
      </w:r>
      <w:r>
        <w:rPr>
          <w:rFonts w:hint="eastAsia" w:ascii="仿宋" w:hAnsi="仿宋" w:eastAsia="仿宋_GB2312"/>
          <w:sz w:val="32"/>
          <w:szCs w:val="32"/>
        </w:rPr>
        <w:t>、</w:t>
      </w:r>
      <w:r>
        <w:rPr>
          <w:rFonts w:ascii="仿宋" w:hAnsi="仿宋" w:eastAsia="仿宋_GB2312"/>
          <w:sz w:val="32"/>
          <w:szCs w:val="32"/>
        </w:rPr>
        <w:t>特级教师津贴</w:t>
      </w:r>
      <w:r>
        <w:rPr>
          <w:rFonts w:hint="eastAsia" w:ascii="仿宋" w:hAnsi="仿宋" w:eastAsia="仿宋_GB2312"/>
          <w:sz w:val="32"/>
          <w:szCs w:val="32"/>
        </w:rPr>
        <w:t>、</w:t>
      </w:r>
      <w:r>
        <w:rPr>
          <w:rFonts w:ascii="仿宋" w:hAnsi="仿宋" w:eastAsia="仿宋_GB2312"/>
          <w:sz w:val="32"/>
          <w:szCs w:val="32"/>
        </w:rPr>
        <w:t>其他工资福利支出）</w:t>
      </w:r>
      <w:r>
        <w:rPr>
          <w:rFonts w:hint="eastAsia" w:ascii="仿宋" w:hAnsi="仿宋" w:eastAsia="仿宋_GB2312"/>
          <w:sz w:val="32"/>
          <w:szCs w:val="32"/>
        </w:rPr>
        <w:t>、</w:t>
      </w:r>
      <w:r>
        <w:rPr>
          <w:rFonts w:ascii="仿宋" w:hAnsi="仿宋" w:eastAsia="仿宋_GB2312"/>
          <w:sz w:val="32"/>
          <w:szCs w:val="32"/>
        </w:rPr>
        <w:t>职业年金缴费</w:t>
      </w:r>
      <w:r>
        <w:rPr>
          <w:rFonts w:hint="eastAsia" w:ascii="仿宋" w:hAnsi="仿宋" w:eastAsia="仿宋_GB2312"/>
          <w:sz w:val="32"/>
          <w:szCs w:val="32"/>
        </w:rPr>
        <w:t>、</w:t>
      </w:r>
      <w:r>
        <w:rPr>
          <w:rFonts w:ascii="仿宋" w:hAnsi="仿宋" w:eastAsia="仿宋_GB2312"/>
          <w:sz w:val="32"/>
          <w:szCs w:val="32"/>
        </w:rPr>
        <w:t>住房公积金</w:t>
      </w:r>
      <w:r>
        <w:rPr>
          <w:rFonts w:hint="eastAsia" w:ascii="仿宋" w:hAnsi="仿宋" w:eastAsia="仿宋_GB2312"/>
          <w:sz w:val="32"/>
          <w:szCs w:val="32"/>
        </w:rPr>
        <w:t>、</w:t>
      </w:r>
      <w:r>
        <w:rPr>
          <w:rFonts w:ascii="仿宋" w:hAnsi="仿宋" w:eastAsia="仿宋_GB2312"/>
          <w:sz w:val="32"/>
          <w:szCs w:val="32"/>
        </w:rPr>
        <w:t>医疗费</w:t>
      </w:r>
      <w:r>
        <w:rPr>
          <w:rFonts w:hint="eastAsia" w:ascii="仿宋" w:hAnsi="仿宋" w:eastAsia="仿宋_GB2312"/>
          <w:sz w:val="32"/>
          <w:szCs w:val="32"/>
        </w:rPr>
        <w:t>、</w:t>
      </w:r>
      <w:r>
        <w:rPr>
          <w:rFonts w:ascii="仿宋" w:hAnsi="仿宋" w:eastAsia="仿宋_GB2312"/>
          <w:sz w:val="32"/>
          <w:szCs w:val="32"/>
        </w:rPr>
        <w:t>对个人和家庭的补助</w:t>
      </w:r>
      <w:r>
        <w:rPr>
          <w:rFonts w:hint="eastAsia" w:ascii="仿宋" w:hAnsi="仿宋" w:eastAsia="仿宋_GB2312"/>
          <w:sz w:val="32"/>
          <w:szCs w:val="32"/>
        </w:rPr>
        <w:t>（</w:t>
      </w:r>
      <w:r>
        <w:rPr>
          <w:rFonts w:ascii="仿宋" w:hAnsi="仿宋" w:eastAsia="仿宋_GB2312"/>
          <w:sz w:val="32"/>
          <w:szCs w:val="32"/>
        </w:rPr>
        <w:t>抚恤金</w:t>
      </w:r>
      <w:r>
        <w:rPr>
          <w:rFonts w:hint="eastAsia" w:ascii="仿宋" w:hAnsi="仿宋" w:eastAsia="仿宋_GB2312"/>
          <w:sz w:val="32"/>
          <w:szCs w:val="32"/>
        </w:rPr>
        <w:t>、</w:t>
      </w:r>
      <w:r>
        <w:rPr>
          <w:rFonts w:ascii="仿宋" w:hAnsi="仿宋" w:eastAsia="仿宋_GB2312"/>
          <w:sz w:val="32"/>
          <w:szCs w:val="32"/>
        </w:rPr>
        <w:t>生活补助</w:t>
      </w:r>
      <w:r>
        <w:rPr>
          <w:rFonts w:hint="eastAsia" w:ascii="仿宋" w:hAnsi="仿宋" w:eastAsia="仿宋_GB2312"/>
          <w:sz w:val="32"/>
          <w:szCs w:val="32"/>
        </w:rPr>
        <w:t>、</w:t>
      </w:r>
      <w:r>
        <w:rPr>
          <w:rFonts w:ascii="仿宋" w:hAnsi="仿宋" w:eastAsia="仿宋_GB2312"/>
          <w:sz w:val="32"/>
          <w:szCs w:val="32"/>
        </w:rPr>
        <w:t>救济费</w:t>
      </w:r>
      <w:r>
        <w:rPr>
          <w:rFonts w:hint="eastAsia" w:ascii="仿宋" w:hAnsi="仿宋" w:eastAsia="仿宋_GB2312"/>
          <w:sz w:val="32"/>
          <w:szCs w:val="32"/>
        </w:rPr>
        <w:t>、</w:t>
      </w:r>
      <w:r>
        <w:rPr>
          <w:rFonts w:ascii="仿宋" w:hAnsi="仿宋" w:eastAsia="仿宋_GB2312"/>
          <w:sz w:val="32"/>
          <w:szCs w:val="32"/>
        </w:rPr>
        <w:t>医疗费补助</w:t>
      </w:r>
      <w:r>
        <w:rPr>
          <w:rFonts w:hint="eastAsia" w:ascii="仿宋" w:hAnsi="仿宋" w:eastAsia="仿宋_GB2312"/>
          <w:sz w:val="32"/>
          <w:szCs w:val="32"/>
        </w:rPr>
        <w:t>、</w:t>
      </w:r>
      <w:r>
        <w:rPr>
          <w:rFonts w:ascii="仿宋" w:hAnsi="仿宋" w:eastAsia="仿宋_GB2312"/>
          <w:sz w:val="32"/>
          <w:szCs w:val="32"/>
        </w:rPr>
        <w:t>助学金</w:t>
      </w:r>
      <w:r>
        <w:rPr>
          <w:rFonts w:hint="eastAsia" w:ascii="仿宋" w:hAnsi="仿宋" w:eastAsia="仿宋_GB2312"/>
          <w:sz w:val="32"/>
          <w:szCs w:val="32"/>
        </w:rPr>
        <w:t>、</w:t>
      </w:r>
      <w:r>
        <w:rPr>
          <w:rFonts w:ascii="仿宋" w:hAnsi="仿宋" w:eastAsia="仿宋_GB2312"/>
          <w:sz w:val="32"/>
          <w:szCs w:val="32"/>
        </w:rPr>
        <w:t>其他对个人和家庭的补助）</w:t>
      </w:r>
      <w:r>
        <w:rPr>
          <w:rFonts w:hint="eastAsia" w:ascii="仿宋" w:hAnsi="仿宋" w:eastAsia="仿宋_GB2312"/>
          <w:sz w:val="32"/>
          <w:szCs w:val="32"/>
        </w:rPr>
        <w:t>、</w:t>
      </w:r>
      <w:r>
        <w:rPr>
          <w:rFonts w:ascii="仿宋" w:hAnsi="仿宋" w:eastAsia="仿宋_GB2312"/>
          <w:sz w:val="32"/>
          <w:szCs w:val="32"/>
        </w:rPr>
        <w:t>其他对个人和家庭的补助</w:t>
      </w:r>
      <w:r>
        <w:rPr>
          <w:rFonts w:hint="eastAsia" w:ascii="仿宋" w:hAnsi="仿宋" w:eastAsia="仿宋_GB2312"/>
          <w:sz w:val="32"/>
          <w:szCs w:val="32"/>
        </w:rPr>
        <w:t>（</w:t>
      </w:r>
      <w:r>
        <w:rPr>
          <w:rFonts w:ascii="仿宋" w:hAnsi="仿宋" w:eastAsia="仿宋_GB2312"/>
          <w:sz w:val="32"/>
          <w:szCs w:val="32"/>
        </w:rPr>
        <w:t>学生助学金</w:t>
      </w:r>
      <w:r>
        <w:rPr>
          <w:rFonts w:hint="eastAsia" w:ascii="仿宋" w:hAnsi="仿宋" w:eastAsia="仿宋_GB2312"/>
          <w:sz w:val="32"/>
          <w:szCs w:val="32"/>
        </w:rPr>
        <w:t>、</w:t>
      </w:r>
      <w:r>
        <w:rPr>
          <w:rFonts w:ascii="仿宋" w:hAnsi="仿宋" w:eastAsia="仿宋_GB2312"/>
          <w:sz w:val="32"/>
          <w:szCs w:val="32"/>
        </w:rPr>
        <w:t>三包经费</w:t>
      </w:r>
      <w:r>
        <w:rPr>
          <w:rFonts w:hint="eastAsia" w:ascii="仿宋" w:hAnsi="仿宋" w:eastAsia="仿宋_GB2312"/>
          <w:sz w:val="32"/>
          <w:szCs w:val="32"/>
        </w:rPr>
        <w:t>、</w:t>
      </w:r>
      <w:r>
        <w:rPr>
          <w:rFonts w:ascii="仿宋" w:hAnsi="仿宋" w:eastAsia="仿宋_GB2312"/>
          <w:sz w:val="32"/>
          <w:szCs w:val="32"/>
        </w:rPr>
        <w:t>学生奖学金</w:t>
      </w:r>
      <w:r>
        <w:rPr>
          <w:rFonts w:hint="eastAsia" w:ascii="仿宋" w:hAnsi="仿宋" w:eastAsia="仿宋_GB2312"/>
          <w:sz w:val="32"/>
          <w:szCs w:val="32"/>
        </w:rPr>
        <w:t>、</w:t>
      </w:r>
      <w:r>
        <w:rPr>
          <w:rFonts w:ascii="仿宋" w:hAnsi="仿宋" w:eastAsia="仿宋_GB2312"/>
          <w:sz w:val="32"/>
          <w:szCs w:val="32"/>
        </w:rPr>
        <w:t>免费教育经费等</w:t>
      </w:r>
      <w:r>
        <w:rPr>
          <w:rFonts w:hint="eastAsia" w:ascii="仿宋" w:hAnsi="仿宋" w:eastAsia="仿宋_GB2312"/>
          <w:sz w:val="32"/>
          <w:szCs w:val="32"/>
        </w:rPr>
        <w:t>、</w:t>
      </w:r>
      <w:r>
        <w:rPr>
          <w:rFonts w:ascii="仿宋" w:hAnsi="仿宋" w:eastAsia="仿宋_GB2312"/>
          <w:sz w:val="32"/>
          <w:szCs w:val="32"/>
        </w:rPr>
        <w:t>营养改善计划试点资金</w:t>
      </w:r>
      <w:r>
        <w:rPr>
          <w:rFonts w:hint="eastAsia" w:ascii="仿宋" w:hAnsi="仿宋" w:eastAsia="仿宋_GB2312"/>
          <w:sz w:val="32"/>
          <w:szCs w:val="32"/>
        </w:rPr>
        <w:t>、</w:t>
      </w:r>
      <w:r>
        <w:rPr>
          <w:rFonts w:ascii="仿宋" w:hAnsi="仿宋" w:eastAsia="仿宋_GB2312"/>
          <w:sz w:val="32"/>
          <w:szCs w:val="32"/>
        </w:rPr>
        <w:t>班主任津贴</w:t>
      </w:r>
      <w:r>
        <w:rPr>
          <w:rFonts w:hint="eastAsia" w:ascii="仿宋" w:hAnsi="仿宋" w:eastAsia="仿宋_GB2312"/>
          <w:sz w:val="32"/>
          <w:szCs w:val="32"/>
        </w:rPr>
        <w:t>、</w:t>
      </w:r>
      <w:r>
        <w:rPr>
          <w:rFonts w:ascii="仿宋" w:hAnsi="仿宋" w:eastAsia="仿宋_GB2312"/>
          <w:sz w:val="32"/>
          <w:szCs w:val="32"/>
        </w:rPr>
        <w:t>西部计划志愿者生活补助）</w:t>
      </w:r>
      <w:r>
        <w:rPr>
          <w:rFonts w:hint="eastAsia" w:ascii="仿宋" w:hAnsi="仿宋" w:eastAsia="仿宋_GB2312"/>
          <w:sz w:val="32"/>
          <w:szCs w:val="32"/>
        </w:rPr>
        <w:t>。</w:t>
      </w:r>
    </w:p>
    <w:p w14:paraId="21A7A837">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r>
        <w:rPr>
          <w:rFonts w:hint="eastAsia" w:ascii="仿宋" w:hAnsi="仿宋" w:eastAsia="仿宋_GB2312"/>
          <w:sz w:val="32"/>
          <w:szCs w:val="32"/>
        </w:rPr>
        <w:t>公用经费</w:t>
      </w:r>
      <w:r>
        <w:rPr>
          <w:rFonts w:hint="eastAsia" w:ascii="仿宋" w:hAnsi="仿宋" w:eastAsia="仿宋_GB2312"/>
          <w:sz w:val="32"/>
          <w:szCs w:val="32"/>
          <w:u w:val="single"/>
          <w:lang w:val="en-US" w:eastAsia="zh-CN"/>
        </w:rPr>
        <w:t>76.15</w:t>
      </w:r>
      <w:r>
        <w:rPr>
          <w:rFonts w:hint="eastAsia" w:ascii="仿宋" w:hAnsi="仿宋" w:eastAsia="仿宋_GB2312"/>
          <w:sz w:val="32"/>
          <w:szCs w:val="32"/>
          <w:u w:val="single"/>
        </w:rPr>
        <w:t xml:space="preserve"> </w:t>
      </w:r>
      <w:r>
        <w:rPr>
          <w:rFonts w:hint="eastAsia" w:ascii="仿宋" w:hAnsi="仿宋" w:eastAsia="仿宋_GB2312"/>
          <w:sz w:val="32"/>
          <w:szCs w:val="32"/>
        </w:rPr>
        <w:t>万元，主要包括（以下</w:t>
      </w:r>
      <w:r>
        <w:rPr>
          <w:rFonts w:ascii="仿宋" w:hAnsi="仿宋" w:eastAsia="仿宋_GB2312"/>
          <w:sz w:val="32"/>
          <w:szCs w:val="32"/>
        </w:rPr>
        <w:t>内容</w:t>
      </w:r>
      <w:r>
        <w:rPr>
          <w:rFonts w:hint="eastAsia" w:ascii="仿宋" w:hAnsi="仿宋" w:eastAsia="仿宋_GB2312"/>
          <w:sz w:val="32"/>
          <w:szCs w:val="32"/>
        </w:rPr>
        <w:t>根据</w:t>
      </w:r>
      <w:r>
        <w:rPr>
          <w:rFonts w:ascii="仿宋" w:hAnsi="仿宋" w:eastAsia="仿宋_GB2312"/>
          <w:sz w:val="32"/>
          <w:szCs w:val="32"/>
        </w:rPr>
        <w:t>部门具体情况进行</w:t>
      </w:r>
      <w:r>
        <w:rPr>
          <w:rFonts w:hint="eastAsia" w:ascii="仿宋" w:hAnsi="仿宋" w:eastAsia="仿宋_GB2312"/>
          <w:sz w:val="32"/>
          <w:szCs w:val="32"/>
        </w:rPr>
        <w:t>填列</w:t>
      </w:r>
      <w:r>
        <w:rPr>
          <w:rFonts w:ascii="仿宋" w:hAnsi="仿宋" w:eastAsia="仿宋_GB2312"/>
          <w:sz w:val="32"/>
          <w:szCs w:val="32"/>
        </w:rPr>
        <w:t>）</w:t>
      </w:r>
      <w:r>
        <w:rPr>
          <w:rFonts w:hint="eastAsia" w:ascii="仿宋" w:hAnsi="仿宋" w:eastAsia="仿宋_GB2312"/>
          <w:sz w:val="32"/>
          <w:szCs w:val="32"/>
        </w:rPr>
        <w:t>：</w:t>
      </w:r>
      <w:r>
        <w:rPr>
          <w:rFonts w:ascii="仿宋" w:hAnsi="仿宋" w:eastAsia="仿宋_GB2312"/>
          <w:sz w:val="32"/>
          <w:szCs w:val="32"/>
        </w:rPr>
        <w:t>商品和服务支出</w:t>
      </w:r>
      <w:r>
        <w:rPr>
          <w:rFonts w:hint="eastAsia" w:ascii="仿宋" w:hAnsi="仿宋" w:eastAsia="仿宋_GB2312"/>
          <w:sz w:val="32"/>
          <w:szCs w:val="32"/>
        </w:rPr>
        <w:t>（</w:t>
      </w:r>
      <w:r>
        <w:rPr>
          <w:rFonts w:ascii="仿宋" w:hAnsi="仿宋" w:eastAsia="仿宋_GB2312"/>
          <w:sz w:val="32"/>
          <w:szCs w:val="32"/>
        </w:rPr>
        <w:t>办公费</w:t>
      </w:r>
      <w:r>
        <w:rPr>
          <w:rFonts w:hint="eastAsia" w:ascii="仿宋" w:hAnsi="仿宋" w:eastAsia="仿宋_GB2312"/>
          <w:sz w:val="32"/>
          <w:szCs w:val="32"/>
        </w:rPr>
        <w:t>、</w:t>
      </w:r>
      <w:r>
        <w:rPr>
          <w:rFonts w:ascii="仿宋" w:hAnsi="仿宋" w:eastAsia="仿宋_GB2312"/>
          <w:sz w:val="32"/>
          <w:szCs w:val="32"/>
        </w:rPr>
        <w:t>印刷费</w:t>
      </w:r>
      <w:r>
        <w:rPr>
          <w:rFonts w:hint="eastAsia" w:ascii="仿宋" w:hAnsi="仿宋" w:eastAsia="仿宋_GB2312"/>
          <w:sz w:val="32"/>
          <w:szCs w:val="32"/>
        </w:rPr>
        <w:t>、</w:t>
      </w:r>
      <w:r>
        <w:rPr>
          <w:rFonts w:ascii="仿宋" w:hAnsi="仿宋" w:eastAsia="仿宋_GB2312"/>
          <w:sz w:val="32"/>
          <w:szCs w:val="32"/>
        </w:rPr>
        <w:t>咨询费</w:t>
      </w:r>
      <w:r>
        <w:rPr>
          <w:rFonts w:hint="eastAsia" w:ascii="仿宋" w:hAnsi="仿宋" w:eastAsia="仿宋_GB2312"/>
          <w:sz w:val="32"/>
          <w:szCs w:val="32"/>
        </w:rPr>
        <w:t>、</w:t>
      </w:r>
      <w:r>
        <w:rPr>
          <w:rFonts w:ascii="仿宋" w:hAnsi="仿宋" w:eastAsia="仿宋_GB2312"/>
          <w:sz w:val="32"/>
          <w:szCs w:val="32"/>
        </w:rPr>
        <w:t>手续费</w:t>
      </w:r>
      <w:r>
        <w:rPr>
          <w:rFonts w:hint="eastAsia" w:ascii="仿宋" w:hAnsi="仿宋" w:eastAsia="仿宋_GB2312"/>
          <w:sz w:val="32"/>
          <w:szCs w:val="32"/>
        </w:rPr>
        <w:t>、</w:t>
      </w:r>
      <w:r>
        <w:rPr>
          <w:rFonts w:ascii="仿宋" w:hAnsi="仿宋" w:eastAsia="仿宋_GB2312"/>
          <w:sz w:val="32"/>
          <w:szCs w:val="32"/>
        </w:rPr>
        <w:t>水费</w:t>
      </w:r>
      <w:r>
        <w:rPr>
          <w:rFonts w:hint="eastAsia" w:ascii="仿宋" w:hAnsi="仿宋" w:eastAsia="仿宋_GB2312"/>
          <w:sz w:val="32"/>
          <w:szCs w:val="32"/>
        </w:rPr>
        <w:t>、</w:t>
      </w:r>
      <w:r>
        <w:rPr>
          <w:rFonts w:ascii="仿宋" w:hAnsi="仿宋" w:eastAsia="仿宋_GB2312"/>
          <w:sz w:val="32"/>
          <w:szCs w:val="32"/>
        </w:rPr>
        <w:t>电费</w:t>
      </w:r>
      <w:r>
        <w:rPr>
          <w:rFonts w:hint="eastAsia" w:ascii="仿宋" w:hAnsi="仿宋" w:eastAsia="仿宋_GB2312"/>
          <w:sz w:val="32"/>
          <w:szCs w:val="32"/>
        </w:rPr>
        <w:t>、</w:t>
      </w:r>
      <w:r>
        <w:rPr>
          <w:rFonts w:ascii="仿宋" w:hAnsi="仿宋" w:eastAsia="仿宋_GB2312"/>
          <w:sz w:val="32"/>
          <w:szCs w:val="32"/>
        </w:rPr>
        <w:t>邮电费</w:t>
      </w:r>
      <w:r>
        <w:rPr>
          <w:rFonts w:hint="eastAsia" w:ascii="仿宋" w:hAnsi="仿宋" w:eastAsia="仿宋_GB2312"/>
          <w:sz w:val="32"/>
          <w:szCs w:val="32"/>
        </w:rPr>
        <w:t>、</w:t>
      </w:r>
      <w:r>
        <w:rPr>
          <w:rFonts w:ascii="仿宋" w:hAnsi="仿宋" w:eastAsia="仿宋_GB2312"/>
          <w:sz w:val="32"/>
          <w:szCs w:val="32"/>
        </w:rPr>
        <w:t>取暖费</w:t>
      </w:r>
      <w:r>
        <w:rPr>
          <w:rFonts w:hint="eastAsia" w:ascii="仿宋" w:hAnsi="仿宋" w:eastAsia="仿宋_GB2312"/>
          <w:sz w:val="32"/>
          <w:szCs w:val="32"/>
        </w:rPr>
        <w:t>、</w:t>
      </w:r>
      <w:r>
        <w:rPr>
          <w:rFonts w:ascii="仿宋" w:hAnsi="仿宋" w:eastAsia="仿宋_GB2312"/>
          <w:sz w:val="32"/>
          <w:szCs w:val="32"/>
        </w:rPr>
        <w:t>物业管理费</w:t>
      </w:r>
      <w:r>
        <w:rPr>
          <w:rFonts w:hint="eastAsia" w:ascii="仿宋" w:hAnsi="仿宋" w:eastAsia="仿宋_GB2312"/>
          <w:sz w:val="32"/>
          <w:szCs w:val="32"/>
        </w:rPr>
        <w:t>、</w:t>
      </w:r>
      <w:r>
        <w:rPr>
          <w:rFonts w:ascii="仿宋" w:hAnsi="仿宋" w:eastAsia="仿宋_GB2312"/>
          <w:sz w:val="32"/>
          <w:szCs w:val="32"/>
        </w:rPr>
        <w:t>差旅费</w:t>
      </w:r>
      <w:r>
        <w:rPr>
          <w:rFonts w:hint="eastAsia" w:ascii="仿宋" w:hAnsi="仿宋" w:eastAsia="仿宋_GB2312"/>
          <w:sz w:val="32"/>
          <w:szCs w:val="32"/>
        </w:rPr>
        <w:t>、</w:t>
      </w:r>
      <w:r>
        <w:rPr>
          <w:rFonts w:ascii="仿宋" w:hAnsi="仿宋" w:eastAsia="仿宋_GB2312"/>
          <w:sz w:val="32"/>
          <w:szCs w:val="32"/>
        </w:rPr>
        <w:t>因公出国(境)费用</w:t>
      </w:r>
      <w:r>
        <w:rPr>
          <w:rFonts w:hint="eastAsia" w:ascii="仿宋" w:hAnsi="仿宋" w:eastAsia="仿宋_GB2312"/>
          <w:sz w:val="32"/>
          <w:szCs w:val="32"/>
        </w:rPr>
        <w:t>、</w:t>
      </w:r>
      <w:r>
        <w:rPr>
          <w:rFonts w:ascii="仿宋" w:hAnsi="仿宋" w:eastAsia="仿宋_GB2312"/>
          <w:sz w:val="32"/>
          <w:szCs w:val="32"/>
        </w:rPr>
        <w:t>维修(护)费</w:t>
      </w:r>
      <w:r>
        <w:rPr>
          <w:rFonts w:hint="eastAsia" w:ascii="仿宋" w:hAnsi="仿宋" w:eastAsia="仿宋_GB2312"/>
          <w:sz w:val="32"/>
          <w:szCs w:val="32"/>
        </w:rPr>
        <w:t>、</w:t>
      </w:r>
      <w:r>
        <w:rPr>
          <w:rFonts w:ascii="仿宋" w:hAnsi="仿宋" w:eastAsia="仿宋_GB2312"/>
          <w:sz w:val="32"/>
          <w:szCs w:val="32"/>
        </w:rPr>
        <w:t>租赁费</w:t>
      </w:r>
      <w:r>
        <w:rPr>
          <w:rFonts w:hint="eastAsia" w:ascii="仿宋" w:hAnsi="仿宋" w:eastAsia="仿宋_GB2312"/>
          <w:sz w:val="32"/>
          <w:szCs w:val="32"/>
        </w:rPr>
        <w:t>、</w:t>
      </w:r>
      <w:r>
        <w:rPr>
          <w:rFonts w:ascii="仿宋" w:hAnsi="仿宋" w:eastAsia="仿宋_GB2312"/>
          <w:sz w:val="32"/>
          <w:szCs w:val="32"/>
        </w:rPr>
        <w:t>会议费</w:t>
      </w:r>
      <w:r>
        <w:rPr>
          <w:rFonts w:hint="eastAsia" w:ascii="仿宋" w:hAnsi="仿宋" w:eastAsia="仿宋_GB2312"/>
          <w:sz w:val="32"/>
          <w:szCs w:val="32"/>
        </w:rPr>
        <w:t>、</w:t>
      </w:r>
      <w:r>
        <w:rPr>
          <w:rFonts w:ascii="仿宋" w:hAnsi="仿宋" w:eastAsia="仿宋_GB2312"/>
          <w:sz w:val="32"/>
          <w:szCs w:val="32"/>
        </w:rPr>
        <w:t>培训费</w:t>
      </w:r>
      <w:r>
        <w:rPr>
          <w:rFonts w:hint="eastAsia" w:ascii="仿宋" w:hAnsi="仿宋" w:eastAsia="仿宋_GB2312"/>
          <w:sz w:val="32"/>
          <w:szCs w:val="32"/>
        </w:rPr>
        <w:t>、</w:t>
      </w:r>
      <w:r>
        <w:rPr>
          <w:rFonts w:ascii="仿宋" w:hAnsi="仿宋" w:eastAsia="仿宋_GB2312"/>
          <w:sz w:val="32"/>
          <w:szCs w:val="32"/>
        </w:rPr>
        <w:t>公务接待费</w:t>
      </w:r>
      <w:r>
        <w:rPr>
          <w:rFonts w:hint="eastAsia" w:ascii="仿宋" w:hAnsi="仿宋" w:eastAsia="仿宋_GB2312"/>
          <w:sz w:val="32"/>
          <w:szCs w:val="32"/>
        </w:rPr>
        <w:t>、</w:t>
      </w:r>
      <w:r>
        <w:rPr>
          <w:rFonts w:ascii="仿宋" w:hAnsi="仿宋" w:eastAsia="仿宋_GB2312"/>
          <w:sz w:val="32"/>
          <w:szCs w:val="32"/>
        </w:rPr>
        <w:t>专用材料费</w:t>
      </w:r>
      <w:r>
        <w:rPr>
          <w:rFonts w:hint="eastAsia" w:ascii="仿宋" w:hAnsi="仿宋" w:eastAsia="仿宋_GB2312"/>
          <w:sz w:val="32"/>
          <w:szCs w:val="32"/>
        </w:rPr>
        <w:t>、</w:t>
      </w:r>
      <w:r>
        <w:rPr>
          <w:rFonts w:ascii="仿宋" w:hAnsi="仿宋" w:eastAsia="仿宋_GB2312"/>
          <w:sz w:val="32"/>
          <w:szCs w:val="32"/>
        </w:rPr>
        <w:t>被装购置费</w:t>
      </w:r>
      <w:r>
        <w:rPr>
          <w:rFonts w:hint="eastAsia" w:ascii="仿宋" w:hAnsi="仿宋" w:eastAsia="仿宋_GB2312"/>
          <w:sz w:val="32"/>
          <w:szCs w:val="32"/>
        </w:rPr>
        <w:t>、</w:t>
      </w:r>
      <w:r>
        <w:rPr>
          <w:rFonts w:ascii="仿宋" w:hAnsi="仿宋" w:eastAsia="仿宋_GB2312"/>
          <w:sz w:val="32"/>
          <w:szCs w:val="32"/>
        </w:rPr>
        <w:t>专用燃料费</w:t>
      </w:r>
      <w:r>
        <w:rPr>
          <w:rFonts w:hint="eastAsia" w:ascii="仿宋" w:hAnsi="仿宋" w:eastAsia="仿宋_GB2312"/>
          <w:sz w:val="32"/>
          <w:szCs w:val="32"/>
        </w:rPr>
        <w:t>、</w:t>
      </w:r>
      <w:r>
        <w:rPr>
          <w:rFonts w:ascii="仿宋" w:hAnsi="仿宋" w:eastAsia="仿宋_GB2312"/>
          <w:sz w:val="32"/>
          <w:szCs w:val="32"/>
        </w:rPr>
        <w:t>劳务费</w:t>
      </w:r>
      <w:r>
        <w:rPr>
          <w:rFonts w:hint="eastAsia" w:ascii="仿宋" w:hAnsi="仿宋" w:eastAsia="仿宋_GB2312"/>
          <w:sz w:val="32"/>
          <w:szCs w:val="32"/>
        </w:rPr>
        <w:t>、</w:t>
      </w:r>
      <w:r>
        <w:rPr>
          <w:rFonts w:ascii="仿宋" w:hAnsi="仿宋" w:eastAsia="仿宋_GB2312"/>
          <w:sz w:val="32"/>
          <w:szCs w:val="32"/>
        </w:rPr>
        <w:t>委托业务费</w:t>
      </w:r>
      <w:r>
        <w:rPr>
          <w:rFonts w:hint="eastAsia" w:ascii="仿宋" w:hAnsi="仿宋" w:eastAsia="仿宋_GB2312"/>
          <w:sz w:val="32"/>
          <w:szCs w:val="32"/>
        </w:rPr>
        <w:t>、</w:t>
      </w:r>
      <w:r>
        <w:rPr>
          <w:rFonts w:ascii="仿宋" w:hAnsi="仿宋" w:eastAsia="仿宋_GB2312"/>
          <w:sz w:val="32"/>
          <w:szCs w:val="32"/>
        </w:rPr>
        <w:t>福利费</w:t>
      </w:r>
      <w:r>
        <w:rPr>
          <w:rFonts w:hint="eastAsia" w:ascii="仿宋" w:hAnsi="仿宋" w:eastAsia="仿宋_GB2312"/>
          <w:sz w:val="32"/>
          <w:szCs w:val="32"/>
        </w:rPr>
        <w:t>、</w:t>
      </w:r>
      <w:r>
        <w:rPr>
          <w:rFonts w:ascii="仿宋" w:hAnsi="仿宋" w:eastAsia="仿宋_GB2312"/>
          <w:sz w:val="32"/>
          <w:szCs w:val="32"/>
        </w:rPr>
        <w:t>公务用车运行维护费</w:t>
      </w:r>
      <w:r>
        <w:rPr>
          <w:rFonts w:hint="eastAsia" w:ascii="仿宋" w:hAnsi="仿宋" w:eastAsia="仿宋_GB2312"/>
          <w:sz w:val="32"/>
          <w:szCs w:val="32"/>
        </w:rPr>
        <w:t>、</w:t>
      </w:r>
      <w:r>
        <w:rPr>
          <w:rFonts w:ascii="仿宋" w:hAnsi="仿宋" w:eastAsia="仿宋_GB2312"/>
          <w:sz w:val="32"/>
          <w:szCs w:val="32"/>
        </w:rPr>
        <w:t>其他交通费用</w:t>
      </w:r>
      <w:r>
        <w:rPr>
          <w:rFonts w:hint="eastAsia" w:ascii="仿宋" w:hAnsi="仿宋" w:eastAsia="仿宋_GB2312"/>
          <w:sz w:val="32"/>
          <w:szCs w:val="32"/>
        </w:rPr>
        <w:t>、</w:t>
      </w:r>
      <w:r>
        <w:rPr>
          <w:rFonts w:ascii="仿宋" w:hAnsi="仿宋" w:eastAsia="仿宋_GB2312"/>
          <w:sz w:val="32"/>
          <w:szCs w:val="32"/>
        </w:rPr>
        <w:t>税金及附加费用</w:t>
      </w:r>
      <w:r>
        <w:rPr>
          <w:rFonts w:hint="eastAsia" w:ascii="仿宋" w:hAnsi="仿宋" w:eastAsia="仿宋_GB2312"/>
          <w:sz w:val="32"/>
          <w:szCs w:val="32"/>
        </w:rPr>
        <w:t>、</w:t>
      </w:r>
      <w:r>
        <w:rPr>
          <w:rFonts w:ascii="仿宋" w:hAnsi="仿宋" w:eastAsia="仿宋_GB2312"/>
          <w:sz w:val="32"/>
          <w:szCs w:val="32"/>
        </w:rPr>
        <w:t>公务通讯补贴</w:t>
      </w:r>
      <w:r>
        <w:rPr>
          <w:rFonts w:hint="eastAsia" w:ascii="仿宋" w:hAnsi="仿宋" w:eastAsia="仿宋_GB2312"/>
          <w:sz w:val="32"/>
          <w:szCs w:val="32"/>
        </w:rPr>
        <w:t>、</w:t>
      </w:r>
      <w:r>
        <w:rPr>
          <w:rFonts w:ascii="仿宋" w:hAnsi="仿宋" w:eastAsia="仿宋_GB2312"/>
          <w:sz w:val="32"/>
          <w:szCs w:val="32"/>
        </w:rPr>
        <w:t>离退休人员公用经费</w:t>
      </w:r>
      <w:r>
        <w:rPr>
          <w:rFonts w:hint="eastAsia" w:ascii="仿宋" w:hAnsi="仿宋" w:eastAsia="仿宋_GB2312"/>
          <w:sz w:val="32"/>
          <w:szCs w:val="32"/>
        </w:rPr>
        <w:t>、</w:t>
      </w:r>
      <w:r>
        <w:rPr>
          <w:rFonts w:ascii="仿宋" w:hAnsi="仿宋" w:eastAsia="仿宋_GB2312"/>
          <w:sz w:val="32"/>
          <w:szCs w:val="32"/>
        </w:rPr>
        <w:t>电梯运行维护费</w:t>
      </w:r>
      <w:r>
        <w:rPr>
          <w:rFonts w:hint="eastAsia" w:ascii="仿宋" w:hAnsi="仿宋" w:eastAsia="仿宋_GB2312"/>
          <w:sz w:val="32"/>
          <w:szCs w:val="32"/>
        </w:rPr>
        <w:t>、</w:t>
      </w:r>
      <w:r>
        <w:rPr>
          <w:rFonts w:ascii="仿宋" w:hAnsi="仿宋" w:eastAsia="仿宋_GB2312"/>
          <w:sz w:val="32"/>
          <w:szCs w:val="32"/>
        </w:rPr>
        <w:t>食堂补助</w:t>
      </w:r>
      <w:r>
        <w:rPr>
          <w:rFonts w:hint="eastAsia" w:ascii="仿宋" w:hAnsi="仿宋" w:eastAsia="仿宋_GB2312"/>
          <w:sz w:val="32"/>
          <w:szCs w:val="32"/>
        </w:rPr>
        <w:t>、</w:t>
      </w:r>
      <w:r>
        <w:rPr>
          <w:rFonts w:ascii="仿宋" w:hAnsi="仿宋" w:eastAsia="仿宋_GB2312"/>
          <w:sz w:val="32"/>
          <w:szCs w:val="32"/>
        </w:rPr>
        <w:t>邮寄费</w:t>
      </w:r>
      <w:r>
        <w:rPr>
          <w:rFonts w:hint="eastAsia" w:ascii="仿宋" w:hAnsi="仿宋" w:eastAsia="仿宋_GB2312"/>
          <w:sz w:val="32"/>
          <w:szCs w:val="32"/>
        </w:rPr>
        <w:t>、</w:t>
      </w:r>
      <w:r>
        <w:rPr>
          <w:rFonts w:ascii="仿宋" w:hAnsi="仿宋" w:eastAsia="仿宋_GB2312"/>
          <w:sz w:val="32"/>
          <w:szCs w:val="32"/>
        </w:rPr>
        <w:t>其他商品和服务支出）</w:t>
      </w:r>
      <w:r>
        <w:rPr>
          <w:rFonts w:hint="eastAsia" w:ascii="仿宋" w:hAnsi="仿宋" w:eastAsia="仿宋_GB2312"/>
          <w:sz w:val="32"/>
          <w:szCs w:val="32"/>
        </w:rPr>
        <w:t>、</w:t>
      </w:r>
      <w:r>
        <w:rPr>
          <w:rFonts w:ascii="仿宋" w:hAnsi="仿宋" w:eastAsia="仿宋_GB2312"/>
          <w:sz w:val="32"/>
          <w:szCs w:val="32"/>
        </w:rPr>
        <w:t>工会经费</w:t>
      </w:r>
      <w:r>
        <w:rPr>
          <w:rFonts w:hint="eastAsia" w:ascii="仿宋" w:hAnsi="仿宋" w:eastAsia="仿宋_GB2312"/>
          <w:sz w:val="32"/>
          <w:szCs w:val="32"/>
        </w:rPr>
        <w:t>、</w:t>
      </w:r>
      <w:r>
        <w:rPr>
          <w:rFonts w:ascii="仿宋" w:hAnsi="仿宋" w:eastAsia="仿宋_GB2312"/>
          <w:sz w:val="32"/>
          <w:szCs w:val="32"/>
        </w:rPr>
        <w:t>车辆保险</w:t>
      </w:r>
      <w:r>
        <w:rPr>
          <w:rFonts w:hint="eastAsia" w:ascii="仿宋" w:hAnsi="仿宋" w:eastAsia="仿宋_GB2312"/>
          <w:sz w:val="32"/>
          <w:szCs w:val="32"/>
        </w:rPr>
        <w:t>。</w:t>
      </w:r>
    </w:p>
    <w:p w14:paraId="082925B2">
      <w:pPr>
        <w:keepNext w:val="0"/>
        <w:keepLines w:val="0"/>
        <w:pageBreakBefore w:val="0"/>
        <w:kinsoku/>
        <w:wordWrap/>
        <w:overflowPunct/>
        <w:topLinePunct w:val="0"/>
        <w:bidi w:val="0"/>
        <w:snapToGrid/>
        <w:spacing w:line="576" w:lineRule="exact"/>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14:paraId="3B427F6F">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r>
        <w:rPr>
          <w:rFonts w:hint="eastAsia" w:ascii="仿宋" w:hAnsi="仿宋" w:eastAsia="仿宋_GB2312"/>
          <w:sz w:val="32"/>
          <w:szCs w:val="32"/>
        </w:rPr>
        <w:t>除介绍“三公”经费总体情况外，还应对分项支出具体情况作说明，同时将分项数与上年预算数作同口径对比，对增减变化情况及原因作说明。除涉密事项外，应同时细化说明因公出国（境）团组数及人数，公务用车购置数及保有量，国内公务接待的批次、人数。</w:t>
      </w:r>
    </w:p>
    <w:p w14:paraId="7375A24B">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r>
        <w:rPr>
          <w:rFonts w:hint="eastAsia" w:ascii="仿宋" w:hAnsi="仿宋" w:eastAsia="仿宋_GB2312"/>
          <w:sz w:val="32"/>
          <w:szCs w:val="32"/>
          <w:lang w:eastAsia="zh-CN"/>
        </w:rPr>
        <w:t>2025</w:t>
      </w:r>
      <w:r>
        <w:rPr>
          <w:rFonts w:hint="eastAsia" w:ascii="仿宋" w:hAnsi="仿宋" w:eastAsia="仿宋_GB2312"/>
          <w:sz w:val="32"/>
          <w:szCs w:val="32"/>
        </w:rPr>
        <w:t>年“三公”经费预算数为</w:t>
      </w:r>
      <w:r>
        <w:rPr>
          <w:rFonts w:hint="eastAsia" w:ascii="仿宋" w:hAnsi="仿宋" w:eastAsia="仿宋_GB2312"/>
          <w:sz w:val="32"/>
          <w:szCs w:val="32"/>
          <w:u w:val="single"/>
        </w:rPr>
        <w:t xml:space="preserve"> </w:t>
      </w:r>
      <w:r>
        <w:rPr>
          <w:rFonts w:hint="eastAsia" w:ascii="仿宋" w:hAnsi="仿宋" w:eastAsia="仿宋_GB2312"/>
          <w:sz w:val="32"/>
          <w:szCs w:val="32"/>
          <w:u w:val="single"/>
          <w:lang w:val="en-US" w:eastAsia="zh-CN"/>
        </w:rPr>
        <w:t>13.9</w:t>
      </w:r>
      <w:r>
        <w:rPr>
          <w:rFonts w:hint="eastAsia" w:ascii="仿宋" w:hAnsi="仿宋" w:eastAsia="仿宋_GB2312"/>
          <w:sz w:val="32"/>
          <w:szCs w:val="32"/>
          <w:u w:val="single"/>
        </w:rPr>
        <w:t xml:space="preserve"> </w:t>
      </w:r>
      <w:r>
        <w:rPr>
          <w:rFonts w:hint="eastAsia" w:ascii="仿宋" w:hAnsi="仿宋" w:eastAsia="仿宋_GB2312"/>
          <w:sz w:val="32"/>
          <w:szCs w:val="32"/>
        </w:rPr>
        <w:t>万元，其中：因公出国（境）费</w:t>
      </w:r>
      <w:r>
        <w:rPr>
          <w:rFonts w:hint="eastAsia" w:ascii="仿宋" w:hAnsi="仿宋" w:eastAsia="仿宋_GB2312"/>
          <w:sz w:val="32"/>
          <w:szCs w:val="32"/>
          <w:u w:val="single"/>
        </w:rPr>
        <w:t xml:space="preserve">  </w:t>
      </w:r>
      <w:r>
        <w:rPr>
          <w:rFonts w:hint="eastAsia" w:ascii="仿宋" w:hAnsi="仿宋" w:eastAsia="仿宋_GB2312"/>
          <w:sz w:val="32"/>
          <w:szCs w:val="32"/>
          <w:u w:val="single"/>
          <w:lang w:val="en-US" w:eastAsia="zh-CN"/>
        </w:rPr>
        <w:t>0</w:t>
      </w:r>
      <w:r>
        <w:rPr>
          <w:rFonts w:hint="eastAsia" w:ascii="仿宋" w:hAnsi="仿宋" w:eastAsia="仿宋_GB2312"/>
          <w:sz w:val="32"/>
          <w:szCs w:val="32"/>
          <w:u w:val="single"/>
        </w:rPr>
        <w:t xml:space="preserve"> </w:t>
      </w:r>
      <w:r>
        <w:rPr>
          <w:rFonts w:hint="eastAsia" w:ascii="仿宋" w:hAnsi="仿宋" w:eastAsia="仿宋_GB2312"/>
          <w:sz w:val="32"/>
          <w:szCs w:val="32"/>
        </w:rPr>
        <w:t>万元，公务用车购置</w:t>
      </w:r>
      <w:r>
        <w:rPr>
          <w:rFonts w:hint="eastAsia" w:ascii="仿宋" w:hAnsi="仿宋" w:eastAsia="仿宋_GB2312"/>
          <w:sz w:val="32"/>
          <w:szCs w:val="32"/>
          <w:u w:val="single"/>
        </w:rPr>
        <w:t xml:space="preserve"> </w:t>
      </w:r>
      <w:r>
        <w:rPr>
          <w:rFonts w:hint="eastAsia" w:ascii="仿宋" w:hAnsi="仿宋" w:eastAsia="仿宋_GB2312"/>
          <w:sz w:val="32"/>
          <w:szCs w:val="32"/>
          <w:u w:val="single"/>
          <w:lang w:val="en-US" w:eastAsia="zh-CN"/>
        </w:rPr>
        <w:t>0</w:t>
      </w:r>
      <w:r>
        <w:rPr>
          <w:rFonts w:hint="eastAsia" w:ascii="仿宋" w:hAnsi="仿宋" w:eastAsia="仿宋_GB2312"/>
          <w:sz w:val="32"/>
          <w:szCs w:val="32"/>
          <w:u w:val="none"/>
        </w:rPr>
        <w:t>万元</w:t>
      </w:r>
      <w:r>
        <w:rPr>
          <w:rFonts w:ascii="仿宋" w:hAnsi="仿宋" w:eastAsia="仿宋_GB2312"/>
          <w:sz w:val="32"/>
          <w:szCs w:val="32"/>
        </w:rPr>
        <w:t>，公车</w:t>
      </w:r>
      <w:r>
        <w:rPr>
          <w:rFonts w:hint="eastAsia" w:ascii="仿宋" w:hAnsi="仿宋" w:eastAsia="仿宋_GB2312"/>
          <w:sz w:val="32"/>
          <w:szCs w:val="32"/>
        </w:rPr>
        <w:t>运行费</w:t>
      </w:r>
      <w:r>
        <w:rPr>
          <w:rFonts w:hint="eastAsia" w:ascii="仿宋" w:hAnsi="仿宋" w:eastAsia="仿宋_GB2312"/>
          <w:sz w:val="32"/>
          <w:szCs w:val="32"/>
          <w:u w:val="single"/>
        </w:rPr>
        <w:t xml:space="preserve"> </w:t>
      </w:r>
      <w:r>
        <w:rPr>
          <w:rFonts w:hint="eastAsia" w:ascii="仿宋" w:hAnsi="仿宋" w:eastAsia="仿宋_GB2312"/>
          <w:sz w:val="32"/>
          <w:szCs w:val="32"/>
          <w:u w:val="single"/>
          <w:lang w:val="en-US" w:eastAsia="zh-CN"/>
        </w:rPr>
        <w:t>13.9</w:t>
      </w:r>
      <w:r>
        <w:rPr>
          <w:rFonts w:hint="eastAsia" w:ascii="仿宋" w:hAnsi="仿宋" w:eastAsia="仿宋_GB2312"/>
          <w:sz w:val="32"/>
          <w:szCs w:val="32"/>
          <w:u w:val="single"/>
        </w:rPr>
        <w:t xml:space="preserve"> </w:t>
      </w:r>
      <w:r>
        <w:rPr>
          <w:rFonts w:hint="eastAsia" w:ascii="仿宋" w:hAnsi="仿宋" w:eastAsia="仿宋_GB2312"/>
          <w:sz w:val="32"/>
          <w:szCs w:val="32"/>
        </w:rPr>
        <w:t>万元，公务接待费</w:t>
      </w:r>
      <w:r>
        <w:rPr>
          <w:rFonts w:hint="eastAsia" w:ascii="仿宋" w:hAnsi="仿宋" w:eastAsia="仿宋_GB2312"/>
          <w:sz w:val="32"/>
          <w:szCs w:val="32"/>
          <w:u w:val="single"/>
        </w:rPr>
        <w:t xml:space="preserve"> </w:t>
      </w:r>
      <w:r>
        <w:rPr>
          <w:rFonts w:ascii="仿宋" w:hAnsi="仿宋" w:eastAsia="仿宋_GB2312"/>
          <w:sz w:val="32"/>
          <w:szCs w:val="32"/>
          <w:u w:val="single"/>
        </w:rPr>
        <w:t xml:space="preserve"> </w:t>
      </w:r>
      <w:r>
        <w:rPr>
          <w:rFonts w:hint="eastAsia" w:ascii="仿宋" w:hAnsi="仿宋" w:eastAsia="仿宋_GB2312"/>
          <w:sz w:val="32"/>
          <w:szCs w:val="32"/>
          <w:u w:val="single"/>
          <w:lang w:val="en-US" w:eastAsia="zh-CN"/>
        </w:rPr>
        <w:t>0</w:t>
      </w:r>
      <w:r>
        <w:rPr>
          <w:rFonts w:hint="eastAsia" w:ascii="仿宋" w:hAnsi="仿宋" w:eastAsia="仿宋_GB2312"/>
          <w:sz w:val="32"/>
          <w:szCs w:val="32"/>
          <w:u w:val="single"/>
        </w:rPr>
        <w:t xml:space="preserve"> </w:t>
      </w:r>
      <w:r>
        <w:rPr>
          <w:rFonts w:hint="eastAsia" w:ascii="仿宋" w:hAnsi="仿宋" w:eastAsia="仿宋_GB2312"/>
          <w:sz w:val="32"/>
          <w:szCs w:val="32"/>
        </w:rPr>
        <w:t>万元。“三公”经费预算比</w:t>
      </w:r>
      <w:r>
        <w:rPr>
          <w:rFonts w:hint="eastAsia" w:ascii="仿宋" w:hAnsi="仿宋" w:eastAsia="仿宋_GB2312"/>
          <w:sz w:val="32"/>
          <w:szCs w:val="32"/>
          <w:lang w:eastAsia="zh-CN"/>
        </w:rPr>
        <w:t>2024</w:t>
      </w:r>
      <w:r>
        <w:rPr>
          <w:rFonts w:hint="eastAsia" w:ascii="仿宋" w:hAnsi="仿宋" w:eastAsia="仿宋_GB2312"/>
          <w:sz w:val="32"/>
          <w:szCs w:val="32"/>
        </w:rPr>
        <w:t>年减少</w:t>
      </w:r>
      <w:r>
        <w:rPr>
          <w:rFonts w:hint="eastAsia" w:ascii="仿宋" w:hAnsi="仿宋" w:eastAsia="仿宋_GB2312"/>
          <w:sz w:val="32"/>
          <w:szCs w:val="32"/>
          <w:u w:val="single"/>
        </w:rPr>
        <w:t xml:space="preserve"> </w:t>
      </w:r>
      <w:r>
        <w:rPr>
          <w:rFonts w:hint="eastAsia" w:ascii="仿宋" w:hAnsi="仿宋" w:eastAsia="仿宋_GB2312"/>
          <w:sz w:val="32"/>
          <w:szCs w:val="32"/>
          <w:u w:val="single"/>
          <w:lang w:val="en-US" w:eastAsia="zh-CN"/>
        </w:rPr>
        <w:t>0.1</w:t>
      </w:r>
      <w:r>
        <w:rPr>
          <w:rFonts w:hint="eastAsia" w:ascii="仿宋" w:hAnsi="仿宋" w:eastAsia="仿宋_GB2312"/>
          <w:sz w:val="32"/>
          <w:szCs w:val="32"/>
          <w:u w:val="single"/>
        </w:rPr>
        <w:t xml:space="preserve"> </w:t>
      </w:r>
      <w:r>
        <w:rPr>
          <w:rFonts w:hint="eastAsia" w:ascii="仿宋" w:hAnsi="仿宋" w:eastAsia="仿宋_GB2312"/>
          <w:sz w:val="32"/>
          <w:szCs w:val="32"/>
        </w:rPr>
        <w:t>万元，压缩（增长）</w:t>
      </w:r>
      <w:r>
        <w:rPr>
          <w:rFonts w:hint="eastAsia" w:ascii="仿宋" w:hAnsi="仿宋" w:eastAsia="仿宋_GB2312"/>
          <w:sz w:val="32"/>
          <w:szCs w:val="32"/>
          <w:u w:val="single"/>
        </w:rPr>
        <w:t xml:space="preserve"> </w:t>
      </w:r>
      <w:r>
        <w:rPr>
          <w:rFonts w:hint="eastAsia" w:ascii="仿宋" w:hAnsi="仿宋" w:eastAsia="仿宋_GB2312"/>
          <w:sz w:val="32"/>
          <w:szCs w:val="32"/>
          <w:u w:val="single"/>
          <w:lang w:val="en-US" w:eastAsia="zh-CN"/>
        </w:rPr>
        <w:t>0.72</w:t>
      </w:r>
      <w:r>
        <w:rPr>
          <w:rFonts w:ascii="仿宋" w:hAnsi="仿宋" w:eastAsia="仿宋_GB2312"/>
          <w:sz w:val="32"/>
          <w:szCs w:val="32"/>
          <w:u w:val="single"/>
        </w:rPr>
        <w:t xml:space="preserve"> </w:t>
      </w:r>
      <w:r>
        <w:rPr>
          <w:rFonts w:hint="eastAsia" w:ascii="仿宋" w:hAnsi="仿宋" w:eastAsia="仿宋_GB2312"/>
          <w:sz w:val="32"/>
          <w:szCs w:val="32"/>
          <w:u w:val="single"/>
        </w:rPr>
        <w:t xml:space="preserve"> </w:t>
      </w:r>
      <w:r>
        <w:rPr>
          <w:rFonts w:hint="eastAsia" w:ascii="仿宋" w:hAnsi="仿宋" w:eastAsia="仿宋_GB2312"/>
          <w:sz w:val="32"/>
          <w:szCs w:val="32"/>
        </w:rPr>
        <w:t>%，主要原因是</w:t>
      </w:r>
      <w:r>
        <w:rPr>
          <w:rFonts w:hint="eastAsia" w:ascii="仿宋" w:hAnsi="仿宋" w:eastAsia="仿宋_GB2312"/>
          <w:sz w:val="32"/>
          <w:szCs w:val="32"/>
          <w:u w:val="single"/>
          <w:lang w:val="en-US" w:eastAsia="zh-CN"/>
        </w:rPr>
        <w:t>2024年调拨垃圾车辆已准备交于第三方管理运行，计划做到厉行节约</w:t>
      </w:r>
      <w:r>
        <w:rPr>
          <w:rFonts w:hint="eastAsia" w:ascii="仿宋" w:hAnsi="仿宋" w:eastAsia="仿宋_GB2312"/>
          <w:sz w:val="32"/>
          <w:szCs w:val="32"/>
        </w:rPr>
        <w:t>。</w:t>
      </w:r>
    </w:p>
    <w:p w14:paraId="21311C57">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r>
        <w:rPr>
          <w:rFonts w:hint="eastAsia" w:ascii="仿宋" w:hAnsi="仿宋" w:eastAsia="仿宋_GB2312"/>
          <w:sz w:val="32"/>
          <w:szCs w:val="32"/>
          <w:lang w:eastAsia="zh-CN"/>
        </w:rPr>
        <w:t>2025</w:t>
      </w:r>
      <w:r>
        <w:rPr>
          <w:rFonts w:hint="eastAsia" w:ascii="仿宋" w:hAnsi="仿宋" w:eastAsia="仿宋_GB2312"/>
          <w:sz w:val="32"/>
          <w:szCs w:val="32"/>
        </w:rPr>
        <w:t>年因公出国（境）</w:t>
      </w:r>
      <w:r>
        <w:rPr>
          <w:rFonts w:hint="eastAsia" w:ascii="仿宋" w:hAnsi="仿宋" w:eastAsia="仿宋_GB2312"/>
          <w:sz w:val="32"/>
          <w:szCs w:val="32"/>
          <w:u w:val="single"/>
        </w:rPr>
        <w:t xml:space="preserve"> </w:t>
      </w:r>
      <w:r>
        <w:rPr>
          <w:rFonts w:hint="eastAsia" w:ascii="仿宋" w:hAnsi="仿宋" w:eastAsia="仿宋_GB2312"/>
          <w:sz w:val="32"/>
          <w:szCs w:val="32"/>
          <w:u w:val="single"/>
          <w:lang w:val="en-US" w:eastAsia="zh-CN"/>
        </w:rPr>
        <w:t>0</w:t>
      </w:r>
      <w:r>
        <w:rPr>
          <w:rFonts w:hint="eastAsia" w:ascii="仿宋" w:hAnsi="仿宋" w:eastAsia="仿宋_GB2312"/>
          <w:sz w:val="32"/>
          <w:szCs w:val="32"/>
          <w:u w:val="single"/>
        </w:rPr>
        <w:t xml:space="preserve"> </w:t>
      </w:r>
      <w:r>
        <w:rPr>
          <w:rFonts w:hint="eastAsia" w:ascii="仿宋" w:hAnsi="仿宋" w:eastAsia="仿宋_GB2312"/>
          <w:sz w:val="32"/>
          <w:szCs w:val="32"/>
        </w:rPr>
        <w:t>个团组、</w:t>
      </w:r>
      <w:r>
        <w:rPr>
          <w:rFonts w:hint="eastAsia" w:ascii="仿宋" w:hAnsi="仿宋" w:eastAsia="仿宋_GB2312"/>
          <w:sz w:val="32"/>
          <w:szCs w:val="32"/>
          <w:u w:val="single"/>
        </w:rPr>
        <w:t xml:space="preserve"> </w:t>
      </w:r>
      <w:r>
        <w:rPr>
          <w:rFonts w:hint="eastAsia" w:ascii="仿宋" w:hAnsi="仿宋" w:eastAsia="仿宋_GB2312"/>
          <w:sz w:val="32"/>
          <w:szCs w:val="32"/>
          <w:u w:val="single"/>
          <w:lang w:val="en-US" w:eastAsia="zh-CN"/>
        </w:rPr>
        <w:t>0</w:t>
      </w:r>
      <w:r>
        <w:rPr>
          <w:rFonts w:hint="eastAsia" w:ascii="仿宋" w:hAnsi="仿宋" w:eastAsia="仿宋_GB2312"/>
          <w:sz w:val="32"/>
          <w:szCs w:val="32"/>
          <w:u w:val="single"/>
        </w:rPr>
        <w:t xml:space="preserve"> </w:t>
      </w:r>
      <w:r>
        <w:rPr>
          <w:rFonts w:hint="eastAsia" w:ascii="仿宋" w:hAnsi="仿宋" w:eastAsia="仿宋_GB2312"/>
          <w:sz w:val="32"/>
          <w:szCs w:val="32"/>
        </w:rPr>
        <w:t>人，公务用车购置</w:t>
      </w:r>
      <w:r>
        <w:rPr>
          <w:rFonts w:hint="eastAsia" w:ascii="仿宋" w:hAnsi="仿宋" w:eastAsia="仿宋_GB2312"/>
          <w:sz w:val="32"/>
          <w:szCs w:val="32"/>
          <w:u w:val="single"/>
        </w:rPr>
        <w:t xml:space="preserve"> </w:t>
      </w:r>
      <w:r>
        <w:rPr>
          <w:rFonts w:hint="eastAsia" w:ascii="仿宋" w:hAnsi="仿宋" w:eastAsia="仿宋_GB2312"/>
          <w:sz w:val="32"/>
          <w:szCs w:val="32"/>
          <w:u w:val="single"/>
          <w:lang w:val="en-US" w:eastAsia="zh-CN"/>
        </w:rPr>
        <w:t>0</w:t>
      </w:r>
      <w:r>
        <w:rPr>
          <w:rFonts w:hint="eastAsia" w:ascii="仿宋" w:hAnsi="仿宋" w:eastAsia="仿宋_GB2312"/>
          <w:sz w:val="32"/>
          <w:szCs w:val="32"/>
          <w:u w:val="single"/>
        </w:rPr>
        <w:t xml:space="preserve"> </w:t>
      </w:r>
      <w:r>
        <w:rPr>
          <w:rFonts w:hint="eastAsia" w:ascii="仿宋" w:hAnsi="仿宋" w:eastAsia="仿宋_GB2312"/>
          <w:sz w:val="32"/>
          <w:szCs w:val="32"/>
        </w:rPr>
        <w:t>辆、保有</w:t>
      </w:r>
      <w:r>
        <w:rPr>
          <w:rFonts w:hint="eastAsia" w:ascii="仿宋" w:hAnsi="仿宋" w:eastAsia="仿宋_GB2312"/>
          <w:sz w:val="32"/>
          <w:szCs w:val="32"/>
          <w:u w:val="single"/>
        </w:rPr>
        <w:t xml:space="preserve"> </w:t>
      </w:r>
      <w:r>
        <w:rPr>
          <w:rFonts w:hint="eastAsia" w:ascii="仿宋" w:hAnsi="仿宋" w:eastAsia="仿宋_GB2312"/>
          <w:sz w:val="32"/>
          <w:szCs w:val="32"/>
          <w:u w:val="single"/>
          <w:lang w:val="en-US" w:eastAsia="zh-CN"/>
        </w:rPr>
        <w:t>6</w:t>
      </w:r>
      <w:r>
        <w:rPr>
          <w:rFonts w:hint="eastAsia" w:ascii="仿宋" w:hAnsi="仿宋" w:eastAsia="仿宋_GB2312"/>
          <w:sz w:val="32"/>
          <w:szCs w:val="32"/>
          <w:u w:val="single"/>
        </w:rPr>
        <w:t xml:space="preserve"> </w:t>
      </w:r>
      <w:r>
        <w:rPr>
          <w:rFonts w:hint="eastAsia" w:ascii="仿宋" w:hAnsi="仿宋" w:eastAsia="仿宋_GB2312"/>
          <w:sz w:val="32"/>
          <w:szCs w:val="32"/>
          <w:u w:val="single"/>
          <w:lang w:val="en-US" w:eastAsia="zh-CN"/>
        </w:rPr>
        <w:t>辆</w:t>
      </w:r>
      <w:r>
        <w:rPr>
          <w:rFonts w:hint="eastAsia" w:ascii="仿宋" w:hAnsi="仿宋" w:eastAsia="仿宋_GB2312"/>
          <w:sz w:val="32"/>
          <w:szCs w:val="32"/>
        </w:rPr>
        <w:t>，国内公务接待</w:t>
      </w:r>
      <w:r>
        <w:rPr>
          <w:rFonts w:hint="eastAsia" w:ascii="仿宋" w:hAnsi="仿宋" w:eastAsia="仿宋_GB2312"/>
          <w:sz w:val="32"/>
          <w:szCs w:val="32"/>
          <w:u w:val="single"/>
          <w:lang w:val="en-US" w:eastAsia="zh-CN"/>
        </w:rPr>
        <w:t>0</w:t>
      </w:r>
      <w:r>
        <w:rPr>
          <w:rFonts w:hint="eastAsia" w:ascii="仿宋" w:hAnsi="仿宋" w:eastAsia="仿宋_GB2312"/>
          <w:sz w:val="32"/>
          <w:szCs w:val="32"/>
          <w:u w:val="single"/>
        </w:rPr>
        <w:t xml:space="preserve"> </w:t>
      </w:r>
      <w:r>
        <w:rPr>
          <w:rFonts w:hint="eastAsia" w:ascii="仿宋" w:hAnsi="仿宋" w:eastAsia="仿宋_GB2312"/>
          <w:sz w:val="32"/>
          <w:szCs w:val="32"/>
        </w:rPr>
        <w:t>批次、</w:t>
      </w:r>
      <w:r>
        <w:rPr>
          <w:rFonts w:hint="eastAsia" w:ascii="仿宋" w:hAnsi="仿宋" w:eastAsia="仿宋_GB2312"/>
          <w:sz w:val="32"/>
          <w:szCs w:val="32"/>
          <w:u w:val="single"/>
          <w:lang w:val="en-US" w:eastAsia="zh-CN"/>
        </w:rPr>
        <w:t>0</w:t>
      </w:r>
      <w:r>
        <w:rPr>
          <w:rFonts w:hint="eastAsia" w:ascii="仿宋" w:hAnsi="仿宋" w:eastAsia="仿宋_GB2312"/>
          <w:sz w:val="32"/>
          <w:szCs w:val="32"/>
          <w:u w:val="single"/>
        </w:rPr>
        <w:t xml:space="preserve"> </w:t>
      </w:r>
      <w:r>
        <w:rPr>
          <w:rFonts w:hint="eastAsia" w:ascii="仿宋" w:hAnsi="仿宋" w:eastAsia="仿宋_GB2312"/>
          <w:sz w:val="32"/>
          <w:szCs w:val="32"/>
        </w:rPr>
        <w:t>人。</w:t>
      </w:r>
    </w:p>
    <w:p w14:paraId="1A814788">
      <w:pPr>
        <w:keepNext w:val="0"/>
        <w:keepLines w:val="0"/>
        <w:pageBreakBefore w:val="0"/>
        <w:kinsoku/>
        <w:wordWrap/>
        <w:overflowPunct/>
        <w:topLinePunct w:val="0"/>
        <w:bidi w:val="0"/>
        <w:snapToGrid/>
        <w:spacing w:line="576" w:lineRule="exact"/>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14:paraId="3D4DBD0A">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r>
        <w:rPr>
          <w:rFonts w:hint="eastAsia" w:ascii="仿宋" w:hAnsi="仿宋" w:eastAsia="仿宋_GB2312"/>
          <w:sz w:val="32"/>
          <w:szCs w:val="32"/>
        </w:rPr>
        <w:t>政府性基金预算当年拨款</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160</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万元,比</w:t>
      </w:r>
      <w:r>
        <w:rPr>
          <w:rFonts w:hint="eastAsia" w:ascii="仿宋" w:hAnsi="仿宋" w:eastAsia="仿宋_GB2312"/>
          <w:sz w:val="32"/>
          <w:szCs w:val="32"/>
          <w:lang w:eastAsia="zh-CN"/>
        </w:rPr>
        <w:t>2024</w:t>
      </w:r>
      <w:r>
        <w:rPr>
          <w:rFonts w:hint="eastAsia" w:ascii="仿宋" w:hAnsi="仿宋" w:eastAsia="仿宋_GB2312"/>
          <w:sz w:val="32"/>
          <w:szCs w:val="32"/>
        </w:rPr>
        <w:t>年执行数</w:t>
      </w:r>
      <w:r>
        <w:rPr>
          <w:rFonts w:hint="eastAsia" w:ascii="仿宋" w:hAnsi="仿宋" w:eastAsia="仿宋_GB2312"/>
          <w:sz w:val="32"/>
          <w:szCs w:val="32"/>
          <w:lang w:val="en-US" w:eastAsia="zh-CN"/>
        </w:rPr>
        <w:t>增加</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160</w:t>
      </w:r>
      <w:r>
        <w:rPr>
          <w:rFonts w:ascii="仿宋_GB2312" w:eastAsia="仿宋_GB2312" w:cs="仿宋_GB2312" w:hAnsiTheme="minorHAnsi"/>
          <w:kern w:val="0"/>
          <w:sz w:val="32"/>
          <w:szCs w:val="32"/>
          <w:u w:val="single"/>
        </w:rPr>
        <w:t xml:space="preserve">  </w:t>
      </w:r>
      <w:r>
        <w:rPr>
          <w:rFonts w:hint="eastAsia" w:ascii="仿宋" w:hAnsi="仿宋" w:eastAsia="仿宋_GB2312"/>
          <w:sz w:val="32"/>
          <w:szCs w:val="32"/>
        </w:rPr>
        <w:t>万元，主要原因：</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新增多功能运动场建设项目</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rPr>
        <w:t>。</w:t>
      </w:r>
    </w:p>
    <w:p w14:paraId="542209A7">
      <w:pPr>
        <w:keepNext w:val="0"/>
        <w:keepLines w:val="0"/>
        <w:pageBreakBefore w:val="0"/>
        <w:kinsoku/>
        <w:wordWrap/>
        <w:overflowPunct/>
        <w:topLinePunct w:val="0"/>
        <w:bidi w:val="0"/>
        <w:snapToGrid/>
        <w:spacing w:line="576" w:lineRule="exact"/>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14:paraId="53DFC80A">
      <w:pPr>
        <w:keepNext w:val="0"/>
        <w:keepLines w:val="0"/>
        <w:pageBreakBefore w:val="0"/>
        <w:kinsoku/>
        <w:wordWrap/>
        <w:overflowPunct/>
        <w:topLinePunct w:val="0"/>
        <w:bidi w:val="0"/>
        <w:snapToGrid/>
        <w:spacing w:line="576" w:lineRule="exact"/>
        <w:ind w:firstLine="640" w:firstLineChars="200"/>
        <w:rPr>
          <w:rFonts w:hint="eastAsia" w:ascii="仿宋" w:hAnsi="仿宋" w:eastAsia="仿宋_GB2312"/>
          <w:sz w:val="32"/>
          <w:szCs w:val="32"/>
        </w:rPr>
      </w:pPr>
      <w:r>
        <w:rPr>
          <w:rFonts w:hint="eastAsia" w:ascii="仿宋" w:hAnsi="仿宋" w:eastAsia="仿宋_GB2312"/>
          <w:sz w:val="32"/>
          <w:szCs w:val="32"/>
        </w:rPr>
        <w:t>除介绍“三公”经费总体情况外，还应对分项支出具体情况作说明，同时将分项数与上年预算数作同口径对比，对增减变化情况及原因作说明。除涉密事项外，应同时细化说明因公出国（境）团组数及人数，公务用车购置数及保有量，国内公务接待的批次、人数。</w:t>
      </w:r>
    </w:p>
    <w:tbl>
      <w:tblPr>
        <w:tblStyle w:val="5"/>
        <w:tblW w:w="8886" w:type="dxa"/>
        <w:jc w:val="center"/>
        <w:shd w:val="clear" w:color="auto" w:fill="auto"/>
        <w:tblLayout w:type="fixed"/>
        <w:tblCellMar>
          <w:top w:w="0" w:type="dxa"/>
          <w:left w:w="0" w:type="dxa"/>
          <w:bottom w:w="0" w:type="dxa"/>
          <w:right w:w="0" w:type="dxa"/>
        </w:tblCellMar>
      </w:tblPr>
      <w:tblGrid>
        <w:gridCol w:w="627"/>
        <w:gridCol w:w="1055"/>
        <w:gridCol w:w="1478"/>
        <w:gridCol w:w="1453"/>
        <w:gridCol w:w="1831"/>
        <w:gridCol w:w="872"/>
        <w:gridCol w:w="733"/>
        <w:gridCol w:w="837"/>
      </w:tblGrid>
      <w:tr w14:paraId="74D2899B">
        <w:tblPrEx>
          <w:shd w:val="clear" w:color="auto" w:fill="auto"/>
          <w:tblCellMar>
            <w:top w:w="0" w:type="dxa"/>
            <w:left w:w="0" w:type="dxa"/>
            <w:bottom w:w="0" w:type="dxa"/>
            <w:right w:w="0" w:type="dxa"/>
          </w:tblCellMar>
        </w:tblPrEx>
        <w:trPr>
          <w:trHeight w:val="600" w:hRule="atLeast"/>
          <w:jc w:val="center"/>
        </w:trPr>
        <w:tc>
          <w:tcPr>
            <w:tcW w:w="8886"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0421CAA4">
            <w:pPr>
              <w:keepNext w:val="0"/>
              <w:keepLines w:val="0"/>
              <w:pageBreakBefore w:val="0"/>
              <w:widowControl/>
              <w:suppressLineNumbers w:val="0"/>
              <w:kinsoku/>
              <w:wordWrap/>
              <w:overflowPunct/>
              <w:topLinePunct w:val="0"/>
              <w:bidi w:val="0"/>
              <w:snapToGrid/>
              <w:spacing w:line="576" w:lineRule="exact"/>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政府性基金“三公”经费支出预算表</w:t>
            </w:r>
          </w:p>
        </w:tc>
      </w:tr>
      <w:tr w14:paraId="785F62A0">
        <w:tblPrEx>
          <w:tblCellMar>
            <w:top w:w="0" w:type="dxa"/>
            <w:left w:w="0" w:type="dxa"/>
            <w:bottom w:w="0" w:type="dxa"/>
            <w:right w:w="0" w:type="dxa"/>
          </w:tblCellMar>
        </w:tblPrEx>
        <w:trPr>
          <w:trHeight w:val="338" w:hRule="atLeast"/>
          <w:jc w:val="center"/>
        </w:trPr>
        <w:tc>
          <w:tcPr>
            <w:tcW w:w="316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5" w:type="dxa"/>
              <w:left w:w="15" w:type="dxa"/>
              <w:right w:w="15" w:type="dxa"/>
            </w:tcMar>
            <w:vAlign w:val="center"/>
          </w:tcPr>
          <w:p w14:paraId="64243C3A">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14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5" w:type="dxa"/>
              <w:left w:w="15" w:type="dxa"/>
              <w:right w:w="15" w:type="dxa"/>
            </w:tcMar>
            <w:vAlign w:val="center"/>
          </w:tcPr>
          <w:p w14:paraId="0152A399">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18"/>
                <w:szCs w:val="18"/>
                <w:u w:val="none"/>
              </w:rPr>
            </w:pPr>
          </w:p>
        </w:tc>
        <w:tc>
          <w:tcPr>
            <w:tcW w:w="18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5" w:type="dxa"/>
              <w:left w:w="15" w:type="dxa"/>
              <w:right w:w="15" w:type="dxa"/>
            </w:tcMar>
            <w:vAlign w:val="center"/>
          </w:tcPr>
          <w:p w14:paraId="1B0A324B">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18"/>
                <w:szCs w:val="18"/>
                <w:u w:val="none"/>
              </w:rPr>
            </w:pPr>
          </w:p>
        </w:tc>
        <w:tc>
          <w:tcPr>
            <w:tcW w:w="8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5" w:type="dxa"/>
              <w:left w:w="15" w:type="dxa"/>
              <w:right w:w="15" w:type="dxa"/>
            </w:tcMar>
            <w:vAlign w:val="center"/>
          </w:tcPr>
          <w:p w14:paraId="036F41BA">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18"/>
                <w:szCs w:val="18"/>
                <w:u w:val="none"/>
              </w:rPr>
            </w:pPr>
          </w:p>
        </w:tc>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5" w:type="dxa"/>
              <w:left w:w="15" w:type="dxa"/>
              <w:right w:w="15" w:type="dxa"/>
            </w:tcMar>
            <w:vAlign w:val="center"/>
          </w:tcPr>
          <w:p w14:paraId="301E24FD">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18"/>
                <w:szCs w:val="18"/>
                <w:u w:val="none"/>
              </w:rPr>
            </w:pPr>
          </w:p>
        </w:tc>
        <w:tc>
          <w:tcPr>
            <w:tcW w:w="8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5" w:type="dxa"/>
              <w:left w:w="15" w:type="dxa"/>
              <w:right w:w="15" w:type="dxa"/>
            </w:tcMar>
            <w:vAlign w:val="center"/>
          </w:tcPr>
          <w:p w14:paraId="0AD2CA29">
            <w:pPr>
              <w:keepNext w:val="0"/>
              <w:keepLines w:val="0"/>
              <w:pageBreakBefore w:val="0"/>
              <w:widowControl/>
              <w:suppressLineNumbers w:val="0"/>
              <w:kinsoku/>
              <w:wordWrap/>
              <w:overflowPunct/>
              <w:topLinePunct w:val="0"/>
              <w:bidi w:val="0"/>
              <w:snapToGrid/>
              <w:spacing w:line="576" w:lineRule="exact"/>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金额单位：万元</w:t>
            </w:r>
          </w:p>
        </w:tc>
      </w:tr>
      <w:tr w14:paraId="2FD35849">
        <w:tblPrEx>
          <w:tblCellMar>
            <w:top w:w="0" w:type="dxa"/>
            <w:left w:w="0" w:type="dxa"/>
            <w:bottom w:w="0" w:type="dxa"/>
            <w:right w:w="0" w:type="dxa"/>
          </w:tblCellMar>
        </w:tblPrEx>
        <w:trPr>
          <w:trHeight w:val="418" w:hRule="atLeast"/>
          <w:jc w:val="center"/>
        </w:trPr>
        <w:tc>
          <w:tcPr>
            <w:tcW w:w="62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EFF2F7" w:fill="EFF2F7"/>
            <w:tcMar>
              <w:top w:w="15" w:type="dxa"/>
              <w:left w:w="15" w:type="dxa"/>
              <w:right w:w="15" w:type="dxa"/>
            </w:tcMar>
            <w:vAlign w:val="center"/>
          </w:tcPr>
          <w:p w14:paraId="03769857">
            <w:pPr>
              <w:keepNext w:val="0"/>
              <w:keepLines w:val="0"/>
              <w:pageBreakBefore w:val="0"/>
              <w:widowControl/>
              <w:suppressLineNumbers w:val="0"/>
              <w:kinsoku/>
              <w:wordWrap/>
              <w:overflowPunct/>
              <w:topLinePunct w:val="0"/>
              <w:bidi w:val="0"/>
              <w:snapToGrid/>
              <w:spacing w:line="576"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单位编码</w:t>
            </w:r>
          </w:p>
        </w:tc>
        <w:tc>
          <w:tcPr>
            <w:tcW w:w="105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EFF2F7" w:fill="EFF2F7"/>
            <w:tcMar>
              <w:top w:w="15" w:type="dxa"/>
              <w:left w:w="15" w:type="dxa"/>
              <w:right w:w="15" w:type="dxa"/>
            </w:tcMar>
            <w:vAlign w:val="center"/>
          </w:tcPr>
          <w:p w14:paraId="50F21786">
            <w:pPr>
              <w:keepNext w:val="0"/>
              <w:keepLines w:val="0"/>
              <w:pageBreakBefore w:val="0"/>
              <w:widowControl/>
              <w:suppressLineNumbers w:val="0"/>
              <w:kinsoku/>
              <w:wordWrap/>
              <w:overflowPunct/>
              <w:topLinePunct w:val="0"/>
              <w:bidi w:val="0"/>
              <w:snapToGrid/>
              <w:spacing w:line="576"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w:t>
            </w:r>
          </w:p>
        </w:tc>
        <w:tc>
          <w:tcPr>
            <w:tcW w:w="147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EFF2F7" w:fill="EFF2F7"/>
            <w:tcMar>
              <w:top w:w="15" w:type="dxa"/>
              <w:left w:w="15" w:type="dxa"/>
              <w:right w:w="15" w:type="dxa"/>
            </w:tcMar>
            <w:vAlign w:val="center"/>
          </w:tcPr>
          <w:p w14:paraId="776AF527">
            <w:pPr>
              <w:keepNext w:val="0"/>
              <w:keepLines w:val="0"/>
              <w:pageBreakBefore w:val="0"/>
              <w:widowControl/>
              <w:suppressLineNumbers w:val="0"/>
              <w:kinsoku/>
              <w:wordWrap/>
              <w:overflowPunct/>
              <w:topLinePunct w:val="0"/>
              <w:bidi w:val="0"/>
              <w:snapToGrid/>
              <w:spacing w:line="576"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“三公”经费合计</w:t>
            </w:r>
          </w:p>
        </w:tc>
        <w:tc>
          <w:tcPr>
            <w:tcW w:w="145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EFF2F7" w:fill="EFF2F7"/>
            <w:tcMar>
              <w:top w:w="15" w:type="dxa"/>
              <w:left w:w="15" w:type="dxa"/>
              <w:right w:w="15" w:type="dxa"/>
            </w:tcMar>
            <w:vAlign w:val="center"/>
          </w:tcPr>
          <w:p w14:paraId="0BCFF17B">
            <w:pPr>
              <w:keepNext w:val="0"/>
              <w:keepLines w:val="0"/>
              <w:pageBreakBefore w:val="0"/>
              <w:widowControl/>
              <w:suppressLineNumbers w:val="0"/>
              <w:kinsoku/>
              <w:wordWrap/>
              <w:overflowPunct/>
              <w:topLinePunct w:val="0"/>
              <w:bidi w:val="0"/>
              <w:snapToGrid/>
              <w:spacing w:line="576"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因公出国（境）费</w:t>
            </w:r>
          </w:p>
        </w:tc>
        <w:tc>
          <w:tcPr>
            <w:tcW w:w="343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EFF2F7" w:fill="EFF2F7"/>
            <w:tcMar>
              <w:top w:w="15" w:type="dxa"/>
              <w:left w:w="15" w:type="dxa"/>
              <w:right w:w="15" w:type="dxa"/>
            </w:tcMar>
            <w:vAlign w:val="center"/>
          </w:tcPr>
          <w:p w14:paraId="739710ED">
            <w:pPr>
              <w:keepNext w:val="0"/>
              <w:keepLines w:val="0"/>
              <w:pageBreakBefore w:val="0"/>
              <w:widowControl/>
              <w:suppressLineNumbers w:val="0"/>
              <w:kinsoku/>
              <w:wordWrap/>
              <w:overflowPunct/>
              <w:topLinePunct w:val="0"/>
              <w:bidi w:val="0"/>
              <w:snapToGrid/>
              <w:spacing w:line="576"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公务用车购置及运行费</w:t>
            </w:r>
          </w:p>
        </w:tc>
        <w:tc>
          <w:tcPr>
            <w:tcW w:w="83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EFF2F7" w:fill="EFF2F7"/>
            <w:tcMar>
              <w:top w:w="15" w:type="dxa"/>
              <w:left w:w="15" w:type="dxa"/>
              <w:right w:w="15" w:type="dxa"/>
            </w:tcMar>
            <w:vAlign w:val="center"/>
          </w:tcPr>
          <w:p w14:paraId="3E16311D">
            <w:pPr>
              <w:keepNext w:val="0"/>
              <w:keepLines w:val="0"/>
              <w:pageBreakBefore w:val="0"/>
              <w:widowControl/>
              <w:suppressLineNumbers w:val="0"/>
              <w:kinsoku/>
              <w:wordWrap/>
              <w:overflowPunct/>
              <w:topLinePunct w:val="0"/>
              <w:bidi w:val="0"/>
              <w:snapToGrid/>
              <w:spacing w:line="576"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公务接待费</w:t>
            </w:r>
          </w:p>
        </w:tc>
      </w:tr>
      <w:tr w14:paraId="634B067C">
        <w:tblPrEx>
          <w:tblCellMar>
            <w:top w:w="0" w:type="dxa"/>
            <w:left w:w="0" w:type="dxa"/>
            <w:bottom w:w="0" w:type="dxa"/>
            <w:right w:w="0" w:type="dxa"/>
          </w:tblCellMar>
        </w:tblPrEx>
        <w:trPr>
          <w:trHeight w:val="418" w:hRule="atLeast"/>
          <w:jc w:val="center"/>
        </w:trPr>
        <w:tc>
          <w:tcPr>
            <w:tcW w:w="62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EFF2F7" w:fill="EFF2F7"/>
            <w:tcMar>
              <w:top w:w="15" w:type="dxa"/>
              <w:left w:w="15" w:type="dxa"/>
              <w:right w:w="15" w:type="dxa"/>
            </w:tcMar>
            <w:vAlign w:val="center"/>
          </w:tcPr>
          <w:p w14:paraId="420E253E">
            <w:pPr>
              <w:keepNext w:val="0"/>
              <w:keepLines w:val="0"/>
              <w:pageBreakBefore w:val="0"/>
              <w:kinsoku/>
              <w:wordWrap/>
              <w:overflowPunct/>
              <w:topLinePunct w:val="0"/>
              <w:bidi w:val="0"/>
              <w:snapToGrid/>
              <w:spacing w:line="576" w:lineRule="exact"/>
              <w:jc w:val="center"/>
              <w:rPr>
                <w:rFonts w:hint="eastAsia" w:ascii="宋体" w:hAnsi="宋体" w:eastAsia="宋体" w:cs="宋体"/>
                <w:b/>
                <w:i w:val="0"/>
                <w:color w:val="000000"/>
                <w:sz w:val="22"/>
                <w:szCs w:val="22"/>
                <w:u w:val="none"/>
              </w:rPr>
            </w:pPr>
          </w:p>
        </w:tc>
        <w:tc>
          <w:tcPr>
            <w:tcW w:w="10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EFF2F7" w:fill="EFF2F7"/>
            <w:tcMar>
              <w:top w:w="15" w:type="dxa"/>
              <w:left w:w="15" w:type="dxa"/>
              <w:right w:w="15" w:type="dxa"/>
            </w:tcMar>
            <w:vAlign w:val="center"/>
          </w:tcPr>
          <w:p w14:paraId="7743C862">
            <w:pPr>
              <w:keepNext w:val="0"/>
              <w:keepLines w:val="0"/>
              <w:pageBreakBefore w:val="0"/>
              <w:kinsoku/>
              <w:wordWrap/>
              <w:overflowPunct/>
              <w:topLinePunct w:val="0"/>
              <w:bidi w:val="0"/>
              <w:snapToGrid/>
              <w:spacing w:line="576" w:lineRule="exact"/>
              <w:jc w:val="center"/>
              <w:rPr>
                <w:rFonts w:hint="eastAsia" w:ascii="宋体" w:hAnsi="宋体" w:eastAsia="宋体" w:cs="宋体"/>
                <w:b/>
                <w:i w:val="0"/>
                <w:color w:val="000000"/>
                <w:sz w:val="22"/>
                <w:szCs w:val="22"/>
                <w:u w:val="none"/>
              </w:rPr>
            </w:pPr>
          </w:p>
        </w:tc>
        <w:tc>
          <w:tcPr>
            <w:tcW w:w="147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EFF2F7" w:fill="EFF2F7"/>
            <w:tcMar>
              <w:top w:w="15" w:type="dxa"/>
              <w:left w:w="15" w:type="dxa"/>
              <w:right w:w="15" w:type="dxa"/>
            </w:tcMar>
            <w:vAlign w:val="center"/>
          </w:tcPr>
          <w:p w14:paraId="6228A4CF">
            <w:pPr>
              <w:keepNext w:val="0"/>
              <w:keepLines w:val="0"/>
              <w:pageBreakBefore w:val="0"/>
              <w:kinsoku/>
              <w:wordWrap/>
              <w:overflowPunct/>
              <w:topLinePunct w:val="0"/>
              <w:bidi w:val="0"/>
              <w:snapToGrid/>
              <w:spacing w:line="576" w:lineRule="exact"/>
              <w:jc w:val="center"/>
              <w:rPr>
                <w:rFonts w:hint="eastAsia" w:ascii="宋体" w:hAnsi="宋体" w:eastAsia="宋体" w:cs="宋体"/>
                <w:b/>
                <w:i w:val="0"/>
                <w:color w:val="000000"/>
                <w:sz w:val="22"/>
                <w:szCs w:val="22"/>
                <w:u w:val="none"/>
              </w:rPr>
            </w:pPr>
          </w:p>
        </w:tc>
        <w:tc>
          <w:tcPr>
            <w:tcW w:w="145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EFF2F7" w:fill="EFF2F7"/>
            <w:tcMar>
              <w:top w:w="15" w:type="dxa"/>
              <w:left w:w="15" w:type="dxa"/>
              <w:right w:w="15" w:type="dxa"/>
            </w:tcMar>
            <w:vAlign w:val="center"/>
          </w:tcPr>
          <w:p w14:paraId="79238E61">
            <w:pPr>
              <w:keepNext w:val="0"/>
              <w:keepLines w:val="0"/>
              <w:pageBreakBefore w:val="0"/>
              <w:kinsoku/>
              <w:wordWrap/>
              <w:overflowPunct/>
              <w:topLinePunct w:val="0"/>
              <w:bidi w:val="0"/>
              <w:snapToGrid/>
              <w:spacing w:line="576" w:lineRule="exact"/>
              <w:jc w:val="center"/>
              <w:rPr>
                <w:rFonts w:hint="eastAsia" w:ascii="宋体" w:hAnsi="宋体" w:eastAsia="宋体" w:cs="宋体"/>
                <w:b/>
                <w:i w:val="0"/>
                <w:color w:val="000000"/>
                <w:sz w:val="22"/>
                <w:szCs w:val="22"/>
                <w:u w:val="none"/>
              </w:rPr>
            </w:pPr>
          </w:p>
        </w:tc>
        <w:tc>
          <w:tcPr>
            <w:tcW w:w="18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EFF2F7" w:fill="EFF2F7"/>
            <w:tcMar>
              <w:top w:w="15" w:type="dxa"/>
              <w:left w:w="15" w:type="dxa"/>
              <w:right w:w="15" w:type="dxa"/>
            </w:tcMar>
            <w:vAlign w:val="center"/>
          </w:tcPr>
          <w:p w14:paraId="2209089C">
            <w:pPr>
              <w:keepNext w:val="0"/>
              <w:keepLines w:val="0"/>
              <w:pageBreakBefore w:val="0"/>
              <w:widowControl/>
              <w:suppressLineNumbers w:val="0"/>
              <w:kinsoku/>
              <w:wordWrap/>
              <w:overflowPunct/>
              <w:topLinePunct w:val="0"/>
              <w:bidi w:val="0"/>
              <w:snapToGrid/>
              <w:spacing w:line="576"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8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EFF2F7" w:fill="EFF2F7"/>
            <w:tcMar>
              <w:top w:w="15" w:type="dxa"/>
              <w:left w:w="15" w:type="dxa"/>
              <w:right w:w="15" w:type="dxa"/>
            </w:tcMar>
            <w:vAlign w:val="center"/>
          </w:tcPr>
          <w:p w14:paraId="53560F7E">
            <w:pPr>
              <w:keepNext w:val="0"/>
              <w:keepLines w:val="0"/>
              <w:pageBreakBefore w:val="0"/>
              <w:widowControl/>
              <w:suppressLineNumbers w:val="0"/>
              <w:kinsoku/>
              <w:wordWrap/>
              <w:overflowPunct/>
              <w:topLinePunct w:val="0"/>
              <w:bidi w:val="0"/>
              <w:snapToGrid/>
              <w:spacing w:line="576"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公务用车购置费</w:t>
            </w:r>
          </w:p>
        </w:tc>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EFF2F7" w:fill="EFF2F7"/>
            <w:tcMar>
              <w:top w:w="15" w:type="dxa"/>
              <w:left w:w="15" w:type="dxa"/>
              <w:right w:w="15" w:type="dxa"/>
            </w:tcMar>
            <w:vAlign w:val="center"/>
          </w:tcPr>
          <w:p w14:paraId="54B2E1E5">
            <w:pPr>
              <w:keepNext w:val="0"/>
              <w:keepLines w:val="0"/>
              <w:pageBreakBefore w:val="0"/>
              <w:widowControl/>
              <w:suppressLineNumbers w:val="0"/>
              <w:kinsoku/>
              <w:wordWrap/>
              <w:overflowPunct/>
              <w:topLinePunct w:val="0"/>
              <w:bidi w:val="0"/>
              <w:snapToGrid/>
              <w:spacing w:line="576"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公务用车运行费</w:t>
            </w:r>
          </w:p>
        </w:tc>
        <w:tc>
          <w:tcPr>
            <w:tcW w:w="83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EFF2F7" w:fill="EFF2F7"/>
            <w:tcMar>
              <w:top w:w="15" w:type="dxa"/>
              <w:left w:w="15" w:type="dxa"/>
              <w:right w:w="15" w:type="dxa"/>
            </w:tcMar>
            <w:vAlign w:val="center"/>
          </w:tcPr>
          <w:p w14:paraId="4F58F6F8">
            <w:pPr>
              <w:keepNext w:val="0"/>
              <w:keepLines w:val="0"/>
              <w:pageBreakBefore w:val="0"/>
              <w:kinsoku/>
              <w:wordWrap/>
              <w:overflowPunct/>
              <w:topLinePunct w:val="0"/>
              <w:bidi w:val="0"/>
              <w:snapToGrid/>
              <w:spacing w:line="576" w:lineRule="exact"/>
              <w:jc w:val="center"/>
              <w:rPr>
                <w:rFonts w:hint="eastAsia" w:ascii="宋体" w:hAnsi="宋体" w:eastAsia="宋体" w:cs="宋体"/>
                <w:b/>
                <w:i w:val="0"/>
                <w:color w:val="000000"/>
                <w:sz w:val="22"/>
                <w:szCs w:val="22"/>
                <w:u w:val="none"/>
              </w:rPr>
            </w:pPr>
          </w:p>
        </w:tc>
      </w:tr>
      <w:tr w14:paraId="16878C32">
        <w:tblPrEx>
          <w:tblCellMar>
            <w:top w:w="0" w:type="dxa"/>
            <w:left w:w="0" w:type="dxa"/>
            <w:bottom w:w="0" w:type="dxa"/>
            <w:right w:w="0" w:type="dxa"/>
          </w:tblCellMar>
        </w:tblPrEx>
        <w:trPr>
          <w:trHeight w:val="391" w:hRule="atLeast"/>
          <w:jc w:val="center"/>
        </w:trPr>
        <w:tc>
          <w:tcPr>
            <w:tcW w:w="16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FFFFFF"/>
            <w:noWrap/>
            <w:tcMar>
              <w:top w:w="15" w:type="dxa"/>
              <w:left w:w="15" w:type="dxa"/>
              <w:right w:w="15" w:type="dxa"/>
            </w:tcMar>
            <w:vAlign w:val="center"/>
          </w:tcPr>
          <w:p w14:paraId="59B5AD9A">
            <w:pPr>
              <w:keepNext w:val="0"/>
              <w:keepLines w:val="0"/>
              <w:pageBreakBefore w:val="0"/>
              <w:widowControl/>
              <w:suppressLineNumbers w:val="0"/>
              <w:kinsoku/>
              <w:wordWrap/>
              <w:overflowPunct/>
              <w:topLinePunct w:val="0"/>
              <w:bidi w:val="0"/>
              <w:snapToGrid/>
              <w:spacing w:line="576"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14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164E502C">
            <w:pPr>
              <w:keepNext w:val="0"/>
              <w:keepLines w:val="0"/>
              <w:pageBreakBefore w:val="0"/>
              <w:kinsoku/>
              <w:wordWrap/>
              <w:overflowPunct/>
              <w:topLinePunct w:val="0"/>
              <w:bidi w:val="0"/>
              <w:snapToGrid/>
              <w:spacing w:line="576" w:lineRule="exact"/>
              <w:jc w:val="right"/>
              <w:rPr>
                <w:rFonts w:hint="eastAsia" w:ascii="宋体" w:hAnsi="宋体" w:eastAsia="宋体" w:cs="宋体"/>
                <w:b/>
                <w:i w:val="0"/>
                <w:color w:val="000000"/>
                <w:sz w:val="22"/>
                <w:szCs w:val="22"/>
                <w:u w:val="none"/>
              </w:rPr>
            </w:pPr>
          </w:p>
        </w:tc>
        <w:tc>
          <w:tcPr>
            <w:tcW w:w="14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5B67AA4A">
            <w:pPr>
              <w:keepNext w:val="0"/>
              <w:keepLines w:val="0"/>
              <w:pageBreakBefore w:val="0"/>
              <w:kinsoku/>
              <w:wordWrap/>
              <w:overflowPunct/>
              <w:topLinePunct w:val="0"/>
              <w:bidi w:val="0"/>
              <w:snapToGrid/>
              <w:spacing w:line="576" w:lineRule="exact"/>
              <w:jc w:val="right"/>
              <w:rPr>
                <w:rFonts w:hint="eastAsia" w:ascii="宋体" w:hAnsi="宋体" w:eastAsia="宋体" w:cs="宋体"/>
                <w:b/>
                <w:i w:val="0"/>
                <w:color w:val="000000"/>
                <w:sz w:val="22"/>
                <w:szCs w:val="22"/>
                <w:u w:val="none"/>
              </w:rPr>
            </w:pPr>
          </w:p>
        </w:tc>
        <w:tc>
          <w:tcPr>
            <w:tcW w:w="18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3647DA10">
            <w:pPr>
              <w:keepNext w:val="0"/>
              <w:keepLines w:val="0"/>
              <w:pageBreakBefore w:val="0"/>
              <w:kinsoku/>
              <w:wordWrap/>
              <w:overflowPunct/>
              <w:topLinePunct w:val="0"/>
              <w:bidi w:val="0"/>
              <w:snapToGrid/>
              <w:spacing w:line="576" w:lineRule="exact"/>
              <w:jc w:val="right"/>
              <w:rPr>
                <w:rFonts w:hint="eastAsia" w:ascii="宋体" w:hAnsi="宋体" w:eastAsia="宋体" w:cs="宋体"/>
                <w:b/>
                <w:i w:val="0"/>
                <w:color w:val="000000"/>
                <w:sz w:val="22"/>
                <w:szCs w:val="22"/>
                <w:u w:val="none"/>
              </w:rPr>
            </w:pPr>
          </w:p>
        </w:tc>
        <w:tc>
          <w:tcPr>
            <w:tcW w:w="8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1BF4C6D5">
            <w:pPr>
              <w:keepNext w:val="0"/>
              <w:keepLines w:val="0"/>
              <w:pageBreakBefore w:val="0"/>
              <w:kinsoku/>
              <w:wordWrap/>
              <w:overflowPunct/>
              <w:topLinePunct w:val="0"/>
              <w:bidi w:val="0"/>
              <w:snapToGrid/>
              <w:spacing w:line="576" w:lineRule="exact"/>
              <w:jc w:val="right"/>
              <w:rPr>
                <w:rFonts w:hint="eastAsia" w:ascii="宋体" w:hAnsi="宋体" w:eastAsia="宋体" w:cs="宋体"/>
                <w:b/>
                <w:i w:val="0"/>
                <w:color w:val="000000"/>
                <w:sz w:val="22"/>
                <w:szCs w:val="22"/>
                <w:u w:val="none"/>
              </w:rPr>
            </w:pPr>
          </w:p>
        </w:tc>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0A1C0BCA">
            <w:pPr>
              <w:keepNext w:val="0"/>
              <w:keepLines w:val="0"/>
              <w:pageBreakBefore w:val="0"/>
              <w:kinsoku/>
              <w:wordWrap/>
              <w:overflowPunct/>
              <w:topLinePunct w:val="0"/>
              <w:bidi w:val="0"/>
              <w:snapToGrid/>
              <w:spacing w:line="576" w:lineRule="exact"/>
              <w:jc w:val="right"/>
              <w:rPr>
                <w:rFonts w:hint="eastAsia" w:ascii="宋体" w:hAnsi="宋体" w:eastAsia="宋体" w:cs="宋体"/>
                <w:b/>
                <w:i w:val="0"/>
                <w:color w:val="000000"/>
                <w:sz w:val="22"/>
                <w:szCs w:val="22"/>
                <w:u w:val="none"/>
              </w:rPr>
            </w:pPr>
          </w:p>
        </w:tc>
        <w:tc>
          <w:tcPr>
            <w:tcW w:w="8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294946E4">
            <w:pPr>
              <w:keepNext w:val="0"/>
              <w:keepLines w:val="0"/>
              <w:pageBreakBefore w:val="0"/>
              <w:kinsoku/>
              <w:wordWrap/>
              <w:overflowPunct/>
              <w:topLinePunct w:val="0"/>
              <w:bidi w:val="0"/>
              <w:snapToGrid/>
              <w:spacing w:line="576" w:lineRule="exact"/>
              <w:jc w:val="right"/>
              <w:rPr>
                <w:rFonts w:hint="eastAsia" w:ascii="宋体" w:hAnsi="宋体" w:eastAsia="宋体" w:cs="宋体"/>
                <w:b/>
                <w:i w:val="0"/>
                <w:color w:val="000000"/>
                <w:sz w:val="22"/>
                <w:szCs w:val="22"/>
                <w:u w:val="none"/>
              </w:rPr>
            </w:pPr>
          </w:p>
        </w:tc>
      </w:tr>
      <w:tr w14:paraId="130A9D49">
        <w:tblPrEx>
          <w:tblCellMar>
            <w:top w:w="0" w:type="dxa"/>
            <w:left w:w="0" w:type="dxa"/>
            <w:bottom w:w="0" w:type="dxa"/>
            <w:right w:w="0" w:type="dxa"/>
          </w:tblCellMar>
        </w:tblPrEx>
        <w:trPr>
          <w:trHeight w:val="312" w:hRule="atLeast"/>
          <w:jc w:val="center"/>
        </w:trPr>
        <w:tc>
          <w:tcPr>
            <w:tcW w:w="6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5" w:type="dxa"/>
              <w:left w:w="15" w:type="dxa"/>
              <w:right w:w="15" w:type="dxa"/>
            </w:tcMar>
            <w:vAlign w:val="center"/>
          </w:tcPr>
          <w:p w14:paraId="0E0E2D2B">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18"/>
                <w:szCs w:val="18"/>
                <w:u w:val="none"/>
              </w:rPr>
            </w:pPr>
          </w:p>
        </w:tc>
        <w:tc>
          <w:tcPr>
            <w:tcW w:w="1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5" w:type="dxa"/>
              <w:left w:w="15" w:type="dxa"/>
              <w:right w:w="15" w:type="dxa"/>
            </w:tcMar>
            <w:vAlign w:val="center"/>
          </w:tcPr>
          <w:p w14:paraId="154D6049">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18"/>
                <w:szCs w:val="18"/>
                <w:u w:val="none"/>
              </w:rPr>
            </w:pPr>
          </w:p>
        </w:tc>
        <w:tc>
          <w:tcPr>
            <w:tcW w:w="14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5" w:type="dxa"/>
              <w:left w:w="15" w:type="dxa"/>
              <w:right w:w="15" w:type="dxa"/>
            </w:tcMar>
            <w:vAlign w:val="center"/>
          </w:tcPr>
          <w:p w14:paraId="2E6C7653">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18"/>
                <w:szCs w:val="18"/>
                <w:u w:val="none"/>
              </w:rPr>
            </w:pPr>
          </w:p>
        </w:tc>
        <w:tc>
          <w:tcPr>
            <w:tcW w:w="14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5" w:type="dxa"/>
              <w:left w:w="15" w:type="dxa"/>
              <w:right w:w="15" w:type="dxa"/>
            </w:tcMar>
            <w:vAlign w:val="center"/>
          </w:tcPr>
          <w:p w14:paraId="2CEA6E2C">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18"/>
                <w:szCs w:val="18"/>
                <w:u w:val="none"/>
              </w:rPr>
            </w:pPr>
          </w:p>
        </w:tc>
        <w:tc>
          <w:tcPr>
            <w:tcW w:w="18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5" w:type="dxa"/>
              <w:left w:w="15" w:type="dxa"/>
              <w:right w:w="15" w:type="dxa"/>
            </w:tcMar>
            <w:vAlign w:val="center"/>
          </w:tcPr>
          <w:p w14:paraId="01923DD2">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18"/>
                <w:szCs w:val="18"/>
                <w:u w:val="none"/>
              </w:rPr>
            </w:pPr>
          </w:p>
        </w:tc>
        <w:tc>
          <w:tcPr>
            <w:tcW w:w="8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5" w:type="dxa"/>
              <w:left w:w="15" w:type="dxa"/>
              <w:right w:w="15" w:type="dxa"/>
            </w:tcMar>
            <w:vAlign w:val="center"/>
          </w:tcPr>
          <w:p w14:paraId="6B06021C">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18"/>
                <w:szCs w:val="18"/>
                <w:u w:val="none"/>
              </w:rPr>
            </w:pPr>
          </w:p>
        </w:tc>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5" w:type="dxa"/>
              <w:left w:w="15" w:type="dxa"/>
              <w:right w:w="15" w:type="dxa"/>
            </w:tcMar>
            <w:vAlign w:val="center"/>
          </w:tcPr>
          <w:p w14:paraId="7CF4A1E7">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18"/>
                <w:szCs w:val="18"/>
                <w:u w:val="none"/>
              </w:rPr>
            </w:pPr>
          </w:p>
        </w:tc>
        <w:tc>
          <w:tcPr>
            <w:tcW w:w="8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5" w:type="dxa"/>
              <w:left w:w="15" w:type="dxa"/>
              <w:right w:w="15" w:type="dxa"/>
            </w:tcMar>
            <w:vAlign w:val="center"/>
          </w:tcPr>
          <w:p w14:paraId="48A857EF">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18"/>
                <w:szCs w:val="18"/>
                <w:u w:val="none"/>
              </w:rPr>
            </w:pPr>
          </w:p>
        </w:tc>
      </w:tr>
      <w:tr w14:paraId="175347E0">
        <w:tblPrEx>
          <w:tblCellMar>
            <w:top w:w="0" w:type="dxa"/>
            <w:left w:w="0" w:type="dxa"/>
            <w:bottom w:w="0" w:type="dxa"/>
            <w:right w:w="0" w:type="dxa"/>
          </w:tblCellMar>
        </w:tblPrEx>
        <w:trPr>
          <w:trHeight w:val="302" w:hRule="atLeast"/>
          <w:jc w:val="center"/>
        </w:trPr>
        <w:tc>
          <w:tcPr>
            <w:tcW w:w="6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08A42CDC">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1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46EB9E98">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14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4F3BD606">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14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4DA33C9A">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18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2E8D3D74">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8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6D152444">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7A5E1DFF">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8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21B797F0">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r>
      <w:tr w14:paraId="73FCC799">
        <w:tblPrEx>
          <w:tblCellMar>
            <w:top w:w="0" w:type="dxa"/>
            <w:left w:w="0" w:type="dxa"/>
            <w:bottom w:w="0" w:type="dxa"/>
            <w:right w:w="0" w:type="dxa"/>
          </w:tblCellMar>
        </w:tblPrEx>
        <w:trPr>
          <w:trHeight w:val="302" w:hRule="atLeast"/>
          <w:jc w:val="center"/>
        </w:trPr>
        <w:tc>
          <w:tcPr>
            <w:tcW w:w="6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24FB994E">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1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0057EAA3">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14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56E7E36D">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14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5A4BAD92">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18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4561AA32">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8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169643D7">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2B049E5E">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8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3584A86C">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r>
      <w:tr w14:paraId="43B8420A">
        <w:tblPrEx>
          <w:tblCellMar>
            <w:top w:w="0" w:type="dxa"/>
            <w:left w:w="0" w:type="dxa"/>
            <w:bottom w:w="0" w:type="dxa"/>
            <w:right w:w="0" w:type="dxa"/>
          </w:tblCellMar>
        </w:tblPrEx>
        <w:trPr>
          <w:trHeight w:val="302" w:hRule="atLeast"/>
          <w:jc w:val="center"/>
        </w:trPr>
        <w:tc>
          <w:tcPr>
            <w:tcW w:w="6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210F20C4">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1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5B3A497B">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14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077042A3">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14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7AC22977">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18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01161AFE">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8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04BE2E8D">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0A5272D6">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c>
          <w:tcPr>
            <w:tcW w:w="8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42B3378C">
            <w:pPr>
              <w:keepNext w:val="0"/>
              <w:keepLines w:val="0"/>
              <w:pageBreakBefore w:val="0"/>
              <w:kinsoku/>
              <w:wordWrap/>
              <w:overflowPunct/>
              <w:topLinePunct w:val="0"/>
              <w:bidi w:val="0"/>
              <w:snapToGrid/>
              <w:spacing w:line="576" w:lineRule="exact"/>
              <w:rPr>
                <w:rFonts w:hint="eastAsia" w:ascii="宋体" w:hAnsi="宋体" w:eastAsia="宋体" w:cs="宋体"/>
                <w:i w:val="0"/>
                <w:color w:val="000000"/>
                <w:sz w:val="22"/>
                <w:szCs w:val="22"/>
                <w:u w:val="none"/>
              </w:rPr>
            </w:pPr>
          </w:p>
        </w:tc>
      </w:tr>
    </w:tbl>
    <w:p w14:paraId="29DD572E">
      <w:pPr>
        <w:keepNext w:val="0"/>
        <w:keepLines w:val="0"/>
        <w:pageBreakBefore w:val="0"/>
        <w:kinsoku/>
        <w:wordWrap/>
        <w:overflowPunct/>
        <w:topLinePunct w:val="0"/>
        <w:bidi w:val="0"/>
        <w:snapToGrid/>
        <w:spacing w:line="576" w:lineRule="exact"/>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14:paraId="43FB2D68">
      <w:pPr>
        <w:keepNext w:val="0"/>
        <w:keepLines w:val="0"/>
        <w:pageBreakBefore w:val="0"/>
        <w:kinsoku/>
        <w:wordWrap/>
        <w:overflowPunct/>
        <w:topLinePunct w:val="0"/>
        <w:bidi w:val="0"/>
        <w:snapToGrid/>
        <w:spacing w:line="576" w:lineRule="exact"/>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14:paraId="3A6FFCF0">
      <w:pPr>
        <w:keepNext w:val="0"/>
        <w:keepLines w:val="0"/>
        <w:pageBreakBefore w:val="0"/>
        <w:kinsoku/>
        <w:wordWrap/>
        <w:overflowPunct/>
        <w:topLinePunct w:val="0"/>
        <w:autoSpaceDE w:val="0"/>
        <w:autoSpaceDN w:val="0"/>
        <w:bidi w:val="0"/>
        <w:adjustRightInd w:val="0"/>
        <w:snapToGrid/>
        <w:spacing w:line="576" w:lineRule="exact"/>
        <w:ind w:firstLine="640" w:firstLineChars="200"/>
        <w:rPr>
          <w:rFonts w:ascii="仿宋" w:hAnsi="仿宋" w:eastAsia="仿宋_GB2312"/>
          <w:sz w:val="32"/>
          <w:szCs w:val="32"/>
        </w:rPr>
      </w:pPr>
      <w:r>
        <w:rPr>
          <w:rFonts w:hint="eastAsia" w:ascii="仿宋" w:hAnsi="仿宋" w:eastAsia="仿宋_GB2312"/>
          <w:sz w:val="32"/>
          <w:szCs w:val="32"/>
          <w:lang w:eastAsia="zh-CN"/>
        </w:rPr>
        <w:t>2025</w:t>
      </w:r>
      <w:r>
        <w:rPr>
          <w:rFonts w:hint="eastAsia" w:ascii="仿宋" w:hAnsi="仿宋" w:eastAsia="仿宋_GB2312"/>
          <w:sz w:val="32"/>
          <w:szCs w:val="32"/>
        </w:rPr>
        <w:t>年</w:t>
      </w:r>
      <w:r>
        <w:rPr>
          <w:rFonts w:hint="eastAsia" w:ascii="仿宋" w:hAnsi="仿宋" w:eastAsia="仿宋_GB2312"/>
          <w:sz w:val="32"/>
          <w:szCs w:val="32"/>
          <w:lang w:val="en-US" w:eastAsia="zh-CN"/>
        </w:rPr>
        <w:t>加热萨乡人民政府</w:t>
      </w:r>
      <w:r>
        <w:rPr>
          <w:rFonts w:hint="eastAsia" w:ascii="仿宋" w:hAnsi="仿宋" w:eastAsia="仿宋_GB2312"/>
          <w:sz w:val="32"/>
          <w:szCs w:val="32"/>
        </w:rPr>
        <w:t>机关运行经费财政拨款预算</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76.15</w:t>
      </w:r>
      <w:r>
        <w:rPr>
          <w:rFonts w:hint="eastAsia" w:ascii="仿宋" w:hAnsi="仿宋" w:eastAsia="仿宋_GB2312"/>
          <w:sz w:val="32"/>
          <w:szCs w:val="32"/>
        </w:rPr>
        <w:t>万元，比</w:t>
      </w:r>
      <w:r>
        <w:rPr>
          <w:rFonts w:hint="eastAsia" w:ascii="仿宋" w:hAnsi="仿宋" w:eastAsia="仿宋_GB2312"/>
          <w:sz w:val="32"/>
          <w:szCs w:val="32"/>
          <w:lang w:eastAsia="zh-CN"/>
        </w:rPr>
        <w:t>2024</w:t>
      </w:r>
      <w:r>
        <w:rPr>
          <w:rFonts w:hint="eastAsia" w:ascii="仿宋" w:hAnsi="仿宋" w:eastAsia="仿宋_GB2312"/>
          <w:sz w:val="32"/>
          <w:szCs w:val="32"/>
        </w:rPr>
        <w:t>年预算增加</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7.32</w:t>
      </w:r>
      <w:r>
        <w:rPr>
          <w:rFonts w:ascii="仿宋_GB2312" w:eastAsia="仿宋_GB2312" w:cs="仿宋_GB2312" w:hAnsiTheme="minorHAnsi"/>
          <w:kern w:val="0"/>
          <w:sz w:val="32"/>
          <w:szCs w:val="32"/>
          <w:u w:val="single"/>
        </w:rPr>
        <w:t xml:space="preserve"> </w:t>
      </w:r>
      <w:r>
        <w:rPr>
          <w:rFonts w:hint="eastAsia" w:ascii="仿宋" w:hAnsi="仿宋" w:eastAsia="仿宋_GB2312"/>
          <w:sz w:val="32"/>
          <w:szCs w:val="32"/>
        </w:rPr>
        <w:t>万元，降低（增长</w:t>
      </w:r>
      <w:r>
        <w:rPr>
          <w:rFonts w:ascii="仿宋" w:hAnsi="仿宋" w:eastAsia="仿宋_GB2312"/>
          <w:sz w:val="32"/>
          <w:szCs w:val="32"/>
        </w:rPr>
        <w:t>）</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9.61</w:t>
      </w:r>
      <w:r>
        <w:rPr>
          <w:rFonts w:ascii="仿宋_GB2312" w:eastAsia="仿宋_GB2312" w:cs="仿宋_GB2312" w:hAnsiTheme="minorHAnsi"/>
          <w:kern w:val="0"/>
          <w:sz w:val="32"/>
          <w:szCs w:val="32"/>
          <w:u w:val="single"/>
        </w:rPr>
        <w:t xml:space="preserve"> </w:t>
      </w:r>
      <w:r>
        <w:rPr>
          <w:rFonts w:ascii="仿宋_GB2312" w:eastAsia="仿宋_GB2312" w:cs="仿宋_GB2312" w:hAnsiTheme="minorHAnsi"/>
          <w:kern w:val="0"/>
          <w:sz w:val="32"/>
          <w:szCs w:val="32"/>
        </w:rPr>
        <w:t xml:space="preserve"> </w:t>
      </w:r>
      <w:r>
        <w:rPr>
          <w:rFonts w:ascii="仿宋" w:hAnsi="仿宋" w:eastAsia="仿宋_GB2312"/>
          <w:sz w:val="32"/>
          <w:szCs w:val="32"/>
        </w:rPr>
        <w:t>%</w:t>
      </w:r>
      <w:r>
        <w:rPr>
          <w:rFonts w:hint="eastAsia" w:ascii="仿宋" w:hAnsi="仿宋" w:eastAsia="仿宋_GB2312"/>
          <w:sz w:val="32"/>
          <w:szCs w:val="32"/>
        </w:rPr>
        <w:t>。主要原因是</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人员变被动及人均经费增加</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rPr>
        <w:t>。</w:t>
      </w:r>
    </w:p>
    <w:p w14:paraId="43843D87">
      <w:pPr>
        <w:keepNext w:val="0"/>
        <w:keepLines w:val="0"/>
        <w:pageBreakBefore w:val="0"/>
        <w:kinsoku/>
        <w:wordWrap/>
        <w:overflowPunct/>
        <w:topLinePunct w:val="0"/>
        <w:autoSpaceDE w:val="0"/>
        <w:autoSpaceDN w:val="0"/>
        <w:bidi w:val="0"/>
        <w:adjustRightInd w:val="0"/>
        <w:snapToGrid/>
        <w:spacing w:line="576" w:lineRule="exact"/>
        <w:ind w:firstLine="640" w:firstLineChars="200"/>
        <w:rPr>
          <w:rFonts w:ascii="楷体" w:hAnsi="楷体" w:eastAsia="楷体"/>
          <w:sz w:val="32"/>
          <w:szCs w:val="32"/>
        </w:rPr>
      </w:pPr>
      <w:r>
        <w:rPr>
          <w:rFonts w:hint="eastAsia" w:ascii="楷体" w:hAnsi="楷体" w:eastAsia="楷体"/>
          <w:sz w:val="32"/>
          <w:szCs w:val="32"/>
        </w:rPr>
        <w:t>（二）政府采购情况说明。</w:t>
      </w:r>
    </w:p>
    <w:p w14:paraId="314CFAD4">
      <w:pPr>
        <w:keepNext w:val="0"/>
        <w:keepLines w:val="0"/>
        <w:pageBreakBefore w:val="0"/>
        <w:kinsoku/>
        <w:wordWrap/>
        <w:overflowPunct/>
        <w:topLinePunct w:val="0"/>
        <w:autoSpaceDE w:val="0"/>
        <w:autoSpaceDN w:val="0"/>
        <w:bidi w:val="0"/>
        <w:adjustRightInd w:val="0"/>
        <w:snapToGrid/>
        <w:spacing w:line="576" w:lineRule="exact"/>
        <w:ind w:firstLine="640" w:firstLineChars="200"/>
        <w:jc w:val="both"/>
        <w:rPr>
          <w:rFonts w:ascii="仿宋_GB2312" w:eastAsia="仿宋_GB2312" w:cs="仿宋_GB2312" w:hAnsiTheme="minorHAnsi"/>
          <w:kern w:val="0"/>
          <w:sz w:val="32"/>
          <w:szCs w:val="32"/>
        </w:rPr>
      </w:pPr>
      <w:r>
        <w:rPr>
          <w:rFonts w:hint="eastAsia" w:ascii="仿宋" w:hAnsi="仿宋" w:eastAsia="仿宋_GB2312"/>
          <w:sz w:val="32"/>
          <w:szCs w:val="32"/>
          <w:lang w:eastAsia="zh-CN"/>
        </w:rPr>
        <w:t>2025</w:t>
      </w:r>
      <w:r>
        <w:rPr>
          <w:rFonts w:hint="eastAsia" w:ascii="仿宋" w:hAnsi="仿宋" w:eastAsia="仿宋_GB2312"/>
          <w:sz w:val="32"/>
          <w:szCs w:val="32"/>
        </w:rPr>
        <w:t>年本</w:t>
      </w:r>
      <w:r>
        <w:rPr>
          <w:rFonts w:ascii="仿宋" w:hAnsi="仿宋" w:eastAsia="仿宋_GB2312"/>
          <w:sz w:val="32"/>
          <w:szCs w:val="32"/>
        </w:rPr>
        <w:t>部门及</w:t>
      </w:r>
      <w:r>
        <w:rPr>
          <w:rFonts w:hint="eastAsia" w:ascii="仿宋" w:hAnsi="仿宋" w:eastAsia="仿宋_GB2312"/>
          <w:sz w:val="32"/>
          <w:szCs w:val="32"/>
        </w:rPr>
        <w:t>所属各预算单位政府采购预算总额</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万元，其中：政府采购货物预算</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万元、政府采购工程预算</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万元、政府采购服务预算</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_GB2312"/>
          <w:sz w:val="32"/>
          <w:szCs w:val="32"/>
        </w:rPr>
        <w:t>万元。</w:t>
      </w:r>
    </w:p>
    <w:p w14:paraId="392B44D9">
      <w:pPr>
        <w:keepNext w:val="0"/>
        <w:keepLines w:val="0"/>
        <w:pageBreakBefore w:val="0"/>
        <w:kinsoku/>
        <w:wordWrap/>
        <w:overflowPunct/>
        <w:topLinePunct w:val="0"/>
        <w:bidi w:val="0"/>
        <w:snapToGrid/>
        <w:spacing w:line="576" w:lineRule="exact"/>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14:paraId="06AE64CE">
      <w:pPr>
        <w:keepNext w:val="0"/>
        <w:keepLines w:val="0"/>
        <w:pageBreakBefore w:val="0"/>
        <w:kinsoku/>
        <w:wordWrap/>
        <w:overflowPunct/>
        <w:topLinePunct w:val="0"/>
        <w:autoSpaceDE w:val="0"/>
        <w:autoSpaceDN w:val="0"/>
        <w:bidi w:val="0"/>
        <w:adjustRightInd w:val="0"/>
        <w:snapToGrid/>
        <w:spacing w:line="576" w:lineRule="exact"/>
        <w:ind w:firstLine="640" w:firstLineChars="200"/>
        <w:rPr>
          <w:rFonts w:ascii="仿宋" w:hAnsi="仿宋" w:eastAsia="仿宋_GB2312"/>
          <w:sz w:val="32"/>
          <w:szCs w:val="32"/>
        </w:rPr>
      </w:pPr>
      <w:r>
        <w:rPr>
          <w:rFonts w:hint="eastAsia" w:ascii="仿宋" w:hAnsi="仿宋" w:eastAsia="仿宋_GB2312"/>
          <w:sz w:val="32"/>
          <w:szCs w:val="32"/>
        </w:rPr>
        <w:t>截至</w:t>
      </w:r>
      <w:r>
        <w:rPr>
          <w:rFonts w:hint="eastAsia" w:ascii="仿宋" w:hAnsi="仿宋" w:eastAsia="仿宋_GB2312"/>
          <w:sz w:val="32"/>
          <w:szCs w:val="32"/>
          <w:lang w:eastAsia="zh-CN"/>
        </w:rPr>
        <w:t>2025</w:t>
      </w:r>
      <w:r>
        <w:rPr>
          <w:rFonts w:hint="eastAsia" w:ascii="仿宋" w:hAnsi="仿宋" w:eastAsia="仿宋_GB2312"/>
          <w:sz w:val="32"/>
          <w:szCs w:val="32"/>
        </w:rPr>
        <w:t>年</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月底，本</w:t>
      </w:r>
      <w:r>
        <w:rPr>
          <w:rFonts w:ascii="仿宋" w:hAnsi="仿宋" w:eastAsia="仿宋_GB2312"/>
          <w:sz w:val="32"/>
          <w:szCs w:val="32"/>
        </w:rPr>
        <w:t>部门</w:t>
      </w:r>
      <w:r>
        <w:rPr>
          <w:rFonts w:hint="eastAsia" w:ascii="仿宋" w:hAnsi="仿宋" w:eastAsia="仿宋_GB2312"/>
          <w:sz w:val="32"/>
          <w:szCs w:val="32"/>
        </w:rPr>
        <w:t>及所属各预算单位共有车辆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6</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辆，其中，机要通信用车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辆、应急保障用车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辆、执法执勤用车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辆、特种专业技术用车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3</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辆、其他用车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2</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辆，其他用车主要是</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出差</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用途的车辆。单位价值</w:t>
      </w:r>
      <w:r>
        <w:rPr>
          <w:rFonts w:ascii="仿宋" w:hAnsi="仿宋" w:eastAsia="仿宋_GB2312"/>
          <w:sz w:val="32"/>
          <w:szCs w:val="32"/>
        </w:rPr>
        <w:t>50</w:t>
      </w:r>
      <w:r>
        <w:rPr>
          <w:rFonts w:hint="eastAsia" w:ascii="仿宋" w:hAnsi="仿宋" w:eastAsia="仿宋_GB2312"/>
          <w:sz w:val="32"/>
          <w:szCs w:val="32"/>
        </w:rPr>
        <w:t>万元以上通用设备</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台（套），单位价值</w:t>
      </w:r>
      <w:r>
        <w:rPr>
          <w:rFonts w:ascii="仿宋" w:hAnsi="仿宋" w:eastAsia="仿宋_GB2312"/>
          <w:sz w:val="32"/>
          <w:szCs w:val="32"/>
        </w:rPr>
        <w:t>100</w:t>
      </w:r>
      <w:r>
        <w:rPr>
          <w:rFonts w:hint="eastAsia" w:ascii="仿宋" w:hAnsi="仿宋" w:eastAsia="仿宋_GB2312"/>
          <w:sz w:val="32"/>
          <w:szCs w:val="32"/>
        </w:rPr>
        <w:t>万元以上专用设备</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台（套）。</w:t>
      </w:r>
      <w:r>
        <w:rPr>
          <w:rFonts w:hint="eastAsia" w:ascii="仿宋" w:hAnsi="仿宋" w:eastAsia="仿宋_GB2312"/>
          <w:sz w:val="32"/>
          <w:szCs w:val="32"/>
          <w:lang w:eastAsia="zh-CN"/>
        </w:rPr>
        <w:t>2025</w:t>
      </w:r>
      <w:r>
        <w:rPr>
          <w:rFonts w:hint="eastAsia" w:ascii="仿宋" w:hAnsi="仿宋" w:eastAsia="仿宋_GB2312"/>
          <w:sz w:val="32"/>
          <w:szCs w:val="32"/>
        </w:rPr>
        <w:t>年一般公共预算安排对确实无法使用的</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辆车进行更新购</w:t>
      </w:r>
      <w:r>
        <w:rPr>
          <w:rFonts w:hint="eastAsia" w:ascii="仿宋" w:hAnsi="仿宋" w:eastAsia="仿宋_GB2312"/>
          <w:sz w:val="32"/>
          <w:szCs w:val="32"/>
          <w:lang w:val="en-US" w:eastAsia="zh-CN"/>
        </w:rPr>
        <w:t>置</w:t>
      </w:r>
      <w:r>
        <w:rPr>
          <w:rFonts w:hint="eastAsia" w:ascii="仿宋" w:hAnsi="仿宋" w:eastAsia="仿宋_GB2312"/>
          <w:sz w:val="32"/>
          <w:szCs w:val="32"/>
        </w:rPr>
        <w:t>。</w:t>
      </w:r>
    </w:p>
    <w:p w14:paraId="0CA796A9">
      <w:pPr>
        <w:keepNext w:val="0"/>
        <w:keepLines w:val="0"/>
        <w:pageBreakBefore w:val="0"/>
        <w:kinsoku/>
        <w:wordWrap/>
        <w:overflowPunct/>
        <w:topLinePunct w:val="0"/>
        <w:bidi w:val="0"/>
        <w:snapToGrid/>
        <w:spacing w:line="576" w:lineRule="exact"/>
        <w:ind w:firstLine="640" w:firstLineChars="200"/>
        <w:rPr>
          <w:rFonts w:ascii="仿宋" w:hAnsi="仿宋" w:eastAsia="仿宋_GB2312"/>
          <w:b/>
          <w:sz w:val="32"/>
          <w:szCs w:val="32"/>
        </w:rPr>
      </w:pPr>
      <w:r>
        <w:rPr>
          <w:rFonts w:hint="eastAsia" w:ascii="楷体" w:hAnsi="楷体" w:eastAsia="楷体"/>
          <w:sz w:val="32"/>
          <w:szCs w:val="32"/>
        </w:rPr>
        <w:t>（四）</w:t>
      </w:r>
      <w:r>
        <w:rPr>
          <w:rFonts w:hint="eastAsia" w:ascii="楷体" w:hAnsi="楷体" w:eastAsia="楷体"/>
          <w:sz w:val="32"/>
          <w:szCs w:val="32"/>
          <w:lang w:eastAsia="zh-CN"/>
        </w:rPr>
        <w:t>2025</w:t>
      </w:r>
      <w:r>
        <w:rPr>
          <w:rFonts w:hint="eastAsia" w:ascii="楷体" w:hAnsi="楷体" w:eastAsia="楷体"/>
          <w:sz w:val="32"/>
          <w:szCs w:val="32"/>
        </w:rPr>
        <w:t>年预算绩效情况说明。</w:t>
      </w:r>
    </w:p>
    <w:p w14:paraId="5E7CC545">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r>
        <w:rPr>
          <w:rFonts w:hint="eastAsia" w:ascii="仿宋" w:hAnsi="仿宋" w:eastAsia="仿宋_GB2312"/>
          <w:sz w:val="32"/>
          <w:szCs w:val="32"/>
          <w:lang w:eastAsia="zh-CN"/>
        </w:rPr>
        <w:t>2025</w:t>
      </w:r>
      <w:r>
        <w:rPr>
          <w:rFonts w:hint="eastAsia" w:ascii="仿宋" w:hAnsi="仿宋" w:eastAsia="仿宋_GB2312"/>
          <w:sz w:val="32"/>
          <w:szCs w:val="32"/>
        </w:rPr>
        <w:t>年实现财政支出绩效目标管理全覆盖，实行绩效目标管理</w:t>
      </w:r>
      <w:r>
        <w:rPr>
          <w:rFonts w:hint="eastAsia" w:ascii="仿宋_GB2312" w:eastAsia="仿宋_GB2312" w:cs="仿宋_GB2312" w:hAnsiTheme="minorHAnsi"/>
          <w:kern w:val="0"/>
          <w:sz w:val="32"/>
          <w:szCs w:val="32"/>
          <w:u w:val="single"/>
          <w:lang w:val="en-US" w:eastAsia="zh-CN"/>
        </w:rPr>
        <w:t>36</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个，资金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1911.17</w:t>
      </w:r>
      <w:r>
        <w:rPr>
          <w:rFonts w:hint="eastAsia" w:ascii="仿宋" w:hAnsi="仿宋" w:eastAsia="仿宋_GB2312"/>
          <w:sz w:val="32"/>
          <w:szCs w:val="32"/>
        </w:rPr>
        <w:t>万元，其中：中央转移支付资金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万元，地方资金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万元。重点项目（见名词解释）实行绩效目标管理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_GB2312"/>
          <w:sz w:val="32"/>
          <w:szCs w:val="32"/>
        </w:rPr>
        <w:t>个。</w:t>
      </w:r>
    </w:p>
    <w:p w14:paraId="2392B7AC">
      <w:pPr>
        <w:keepNext w:val="0"/>
        <w:keepLines w:val="0"/>
        <w:pageBreakBefore w:val="0"/>
        <w:kinsoku/>
        <w:wordWrap/>
        <w:overflowPunct/>
        <w:topLinePunct w:val="0"/>
        <w:bidi w:val="0"/>
        <w:snapToGrid/>
        <w:spacing w:line="576" w:lineRule="exact"/>
        <w:ind w:firstLine="645"/>
        <w:rPr>
          <w:rFonts w:ascii="仿宋" w:hAnsi="仿宋" w:eastAsia="仿宋_GB2312"/>
          <w:sz w:val="32"/>
          <w:szCs w:val="32"/>
        </w:rPr>
      </w:pPr>
      <w:r>
        <w:rPr>
          <w:rFonts w:hint="eastAsia" w:ascii="仿宋" w:hAnsi="仿宋" w:eastAsia="仿宋_GB2312"/>
          <w:sz w:val="32"/>
          <w:szCs w:val="32"/>
        </w:rPr>
        <w:t>附重点项目绩效目标表（涉密项目除外）。</w:t>
      </w:r>
    </w:p>
    <w:p w14:paraId="36727626">
      <w:pPr>
        <w:keepNext w:val="0"/>
        <w:keepLines w:val="0"/>
        <w:pageBreakBefore w:val="0"/>
        <w:kinsoku/>
        <w:wordWrap/>
        <w:overflowPunct/>
        <w:topLinePunct w:val="0"/>
        <w:bidi w:val="0"/>
        <w:snapToGrid/>
        <w:spacing w:line="576" w:lineRule="exact"/>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14:paraId="23900819">
      <w:pPr>
        <w:keepNext w:val="0"/>
        <w:keepLines w:val="0"/>
        <w:pageBreakBefore w:val="0"/>
        <w:numPr>
          <w:ilvl w:val="0"/>
          <w:numId w:val="0"/>
        </w:numPr>
        <w:kinsoku/>
        <w:wordWrap/>
        <w:overflowPunct/>
        <w:topLinePunct w:val="0"/>
        <w:bidi w:val="0"/>
        <w:snapToGrid/>
        <w:spacing w:line="576" w:lineRule="exact"/>
        <w:ind w:firstLine="640" w:firstLineChars="200"/>
        <w:rPr>
          <w:rFonts w:hint="eastAsia" w:ascii="仿宋" w:hAnsi="仿宋" w:eastAsia="仿宋_GB2312"/>
          <w:sz w:val="32"/>
          <w:szCs w:val="32"/>
          <w:lang w:val="en-US" w:eastAsia="zh-CN"/>
        </w:rPr>
      </w:pPr>
      <w:r>
        <w:rPr>
          <w:rFonts w:hint="eastAsia" w:ascii="仿宋" w:hAnsi="仿宋" w:eastAsia="仿宋_GB2312"/>
          <w:sz w:val="32"/>
          <w:szCs w:val="32"/>
          <w:lang w:val="en-US" w:eastAsia="zh-CN"/>
        </w:rPr>
        <w:t>无</w:t>
      </w:r>
    </w:p>
    <w:p w14:paraId="3FBDD929">
      <w:pPr>
        <w:keepNext w:val="0"/>
        <w:keepLines w:val="0"/>
        <w:pageBreakBefore w:val="0"/>
        <w:numPr>
          <w:ilvl w:val="0"/>
          <w:numId w:val="0"/>
        </w:numPr>
        <w:kinsoku/>
        <w:wordWrap/>
        <w:overflowPunct/>
        <w:topLinePunct w:val="0"/>
        <w:bidi w:val="0"/>
        <w:snapToGrid/>
        <w:spacing w:line="576" w:lineRule="exact"/>
        <w:ind w:firstLine="640" w:firstLineChars="200"/>
        <w:rPr>
          <w:rFonts w:hint="eastAsia" w:ascii="仿宋" w:hAnsi="仿宋" w:eastAsia="仿宋_GB2312"/>
          <w:sz w:val="32"/>
          <w:szCs w:val="32"/>
        </w:rPr>
      </w:pPr>
      <w:r>
        <w:rPr>
          <w:rFonts w:hint="eastAsia" w:ascii="楷体" w:hAnsi="楷体" w:eastAsia="楷体"/>
          <w:sz w:val="32"/>
          <w:szCs w:val="32"/>
        </w:rPr>
        <w:t>（</w:t>
      </w:r>
      <w:r>
        <w:rPr>
          <w:rFonts w:hint="eastAsia" w:ascii="楷体" w:hAnsi="楷体" w:eastAsia="楷体"/>
          <w:sz w:val="32"/>
          <w:szCs w:val="32"/>
          <w:lang w:val="en-US" w:eastAsia="zh-CN"/>
        </w:rPr>
        <w:t>六</w:t>
      </w:r>
      <w:r>
        <w:rPr>
          <w:rFonts w:hint="eastAsia" w:ascii="楷体" w:hAnsi="楷体" w:eastAsia="楷体"/>
          <w:sz w:val="32"/>
          <w:szCs w:val="32"/>
        </w:rPr>
        <w:t>）政府债务情况。</w:t>
      </w:r>
      <w:r>
        <w:rPr>
          <w:rFonts w:hint="eastAsia" w:ascii="仿宋" w:hAnsi="仿宋" w:eastAsia="仿宋_GB2312"/>
          <w:sz w:val="32"/>
          <w:szCs w:val="32"/>
        </w:rPr>
        <w:t>（本部门及所属单位使用和管理政府债券资金情况，包括相关政府债券资金总体规模、项目安排。）</w:t>
      </w:r>
    </w:p>
    <w:p w14:paraId="229322F4">
      <w:pPr>
        <w:keepNext w:val="0"/>
        <w:keepLines w:val="0"/>
        <w:pageBreakBefore w:val="0"/>
        <w:numPr>
          <w:ilvl w:val="0"/>
          <w:numId w:val="0"/>
        </w:numPr>
        <w:kinsoku/>
        <w:wordWrap/>
        <w:overflowPunct/>
        <w:topLinePunct w:val="0"/>
        <w:bidi w:val="0"/>
        <w:snapToGrid/>
        <w:spacing w:line="576" w:lineRule="exact"/>
        <w:ind w:firstLine="640" w:firstLineChars="200"/>
        <w:rPr>
          <w:rFonts w:hint="eastAsia" w:ascii="仿宋" w:hAnsi="仿宋" w:eastAsia="仿宋_GB2312"/>
          <w:sz w:val="32"/>
          <w:szCs w:val="32"/>
          <w:lang w:val="en-US" w:eastAsia="zh-CN"/>
        </w:rPr>
      </w:pPr>
      <w:r>
        <w:rPr>
          <w:rFonts w:hint="eastAsia" w:ascii="仿宋" w:hAnsi="仿宋" w:eastAsia="仿宋_GB2312"/>
          <w:sz w:val="32"/>
          <w:szCs w:val="32"/>
          <w:lang w:val="en-US" w:eastAsia="zh-CN"/>
        </w:rPr>
        <w:t>无</w:t>
      </w:r>
    </w:p>
    <w:p w14:paraId="6DD4FB42">
      <w:pPr>
        <w:keepNext w:val="0"/>
        <w:keepLines w:val="0"/>
        <w:pageBreakBefore w:val="0"/>
        <w:numPr>
          <w:ilvl w:val="0"/>
          <w:numId w:val="0"/>
        </w:numPr>
        <w:kinsoku/>
        <w:wordWrap/>
        <w:overflowPunct/>
        <w:topLinePunct w:val="0"/>
        <w:bidi w:val="0"/>
        <w:snapToGrid/>
        <w:spacing w:line="576" w:lineRule="exact"/>
        <w:ind w:firstLine="640" w:firstLineChars="200"/>
        <w:rPr>
          <w:rFonts w:hint="eastAsia" w:ascii="仿宋" w:hAnsi="仿宋" w:eastAsia="仿宋_GB2312"/>
          <w:sz w:val="32"/>
          <w:szCs w:val="32"/>
          <w:lang w:val="en-US" w:eastAsia="zh-CN"/>
        </w:rPr>
      </w:pPr>
    </w:p>
    <w:p w14:paraId="0EDEBBF3">
      <w:pPr>
        <w:keepNext w:val="0"/>
        <w:keepLines w:val="0"/>
        <w:pageBreakBefore w:val="0"/>
        <w:kinsoku/>
        <w:wordWrap/>
        <w:overflowPunct/>
        <w:topLinePunct w:val="0"/>
        <w:bidi w:val="0"/>
        <w:snapToGrid/>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14:paraId="79A01ED5">
      <w:pPr>
        <w:keepNext w:val="0"/>
        <w:keepLines w:val="0"/>
        <w:pageBreakBefore w:val="0"/>
        <w:kinsoku/>
        <w:wordWrap/>
        <w:overflowPunct/>
        <w:topLinePunct w:val="0"/>
        <w:bidi w:val="0"/>
        <w:snapToGrid/>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14:paraId="22E2C09A">
      <w:pPr>
        <w:keepNext w:val="0"/>
        <w:keepLines w:val="0"/>
        <w:pageBreakBefore w:val="0"/>
        <w:kinsoku/>
        <w:wordWrap/>
        <w:overflowPunct/>
        <w:topLinePunct w:val="0"/>
        <w:bidi w:val="0"/>
        <w:snapToGrid/>
        <w:spacing w:line="576" w:lineRule="exact"/>
        <w:rPr>
          <w:rFonts w:ascii="仿宋" w:hAnsi="仿宋" w:eastAsia="仿宋_GB2312"/>
          <w:sz w:val="32"/>
          <w:szCs w:val="32"/>
        </w:rPr>
      </w:pPr>
    </w:p>
    <w:p w14:paraId="76A54FB4">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r>
        <w:rPr>
          <w:rFonts w:hint="eastAsia" w:ascii="黑体" w:hAnsi="黑体" w:eastAsia="黑体"/>
          <w:sz w:val="32"/>
          <w:szCs w:val="32"/>
        </w:rPr>
        <w:t>一、财政拨款收入：</w:t>
      </w:r>
      <w:r>
        <w:rPr>
          <w:rFonts w:hint="eastAsia" w:ascii="仿宋" w:hAnsi="仿宋" w:eastAsia="仿宋_GB2312"/>
          <w:sz w:val="32"/>
          <w:szCs w:val="32"/>
        </w:rPr>
        <w:t>本级财政部门当年拨付的财政预算资金，包括一般公共预算财政拨款、政府性基金预算财政拨款和</w:t>
      </w:r>
      <w:r>
        <w:rPr>
          <w:rFonts w:ascii="仿宋" w:hAnsi="仿宋" w:eastAsia="仿宋_GB2312"/>
          <w:sz w:val="32"/>
          <w:szCs w:val="32"/>
        </w:rPr>
        <w:t>国资预算财政拨款</w:t>
      </w:r>
      <w:r>
        <w:rPr>
          <w:rFonts w:hint="eastAsia" w:ascii="仿宋" w:hAnsi="仿宋" w:eastAsia="仿宋_GB2312"/>
          <w:sz w:val="32"/>
          <w:szCs w:val="32"/>
        </w:rPr>
        <w:t>。</w:t>
      </w:r>
    </w:p>
    <w:p w14:paraId="50E3282F">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r>
        <w:rPr>
          <w:rFonts w:hint="eastAsia" w:ascii="黑体" w:hAnsi="黑体" w:eastAsia="黑体"/>
          <w:sz w:val="32"/>
          <w:szCs w:val="32"/>
        </w:rPr>
        <w:t>二、事业收入：</w:t>
      </w:r>
      <w:r>
        <w:rPr>
          <w:rFonts w:hint="eastAsia" w:ascii="仿宋" w:hAnsi="仿宋" w:eastAsia="仿宋_GB2312"/>
          <w:sz w:val="32"/>
          <w:szCs w:val="32"/>
        </w:rPr>
        <w:t>指事业单位开展专业业务活动及辅助活动所取得的收入。</w:t>
      </w:r>
    </w:p>
    <w:p w14:paraId="6AAABF17">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r>
        <w:rPr>
          <w:rFonts w:hint="eastAsia" w:ascii="黑体" w:hAnsi="黑体" w:eastAsia="黑体"/>
          <w:sz w:val="32"/>
          <w:szCs w:val="32"/>
        </w:rPr>
        <w:t>三、事业单位经营收入：</w:t>
      </w:r>
      <w:r>
        <w:rPr>
          <w:rFonts w:hint="eastAsia" w:ascii="仿宋" w:hAnsi="仿宋" w:eastAsia="仿宋_GB2312"/>
          <w:sz w:val="32"/>
          <w:szCs w:val="32"/>
        </w:rPr>
        <w:t>指事业单位在专业业务活动及其辅助活动之外开展非独立核算经营活动取得的收入。</w:t>
      </w:r>
    </w:p>
    <w:p w14:paraId="39BBE8BC">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F6A8519">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_GB2312"/>
          <w:sz w:val="32"/>
          <w:szCs w:val="32"/>
        </w:rPr>
        <w:t>指除上述“一般公共预算拨款收入”、“事业收入”、“事业单位经营收入”等以外的收入。主要是按规定动用的售房收入、存款利息收入等。</w:t>
      </w:r>
    </w:p>
    <w:p w14:paraId="79789ADA">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r>
        <w:rPr>
          <w:rFonts w:hint="eastAsia" w:ascii="黑体" w:hAnsi="黑体" w:eastAsia="黑体"/>
          <w:sz w:val="32"/>
          <w:szCs w:val="32"/>
        </w:rPr>
        <w:t>六、上年结转：</w:t>
      </w:r>
      <w:r>
        <w:rPr>
          <w:rFonts w:hint="eastAsia" w:ascii="仿宋" w:hAnsi="仿宋" w:eastAsia="仿宋_GB2312"/>
          <w:sz w:val="32"/>
          <w:szCs w:val="32"/>
        </w:rPr>
        <w:t>指以前年度安排、结转到本年仍按原规定用途继续使用的资金。</w:t>
      </w:r>
    </w:p>
    <w:p w14:paraId="4404A422">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_GB2312"/>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5CF64F96">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_GB2312"/>
          <w:sz w:val="32"/>
          <w:szCs w:val="32"/>
        </w:rPr>
        <w:t>指为保障机构正常运转、完成日常工作任务而发生的人员支出和公用支出。</w:t>
      </w:r>
    </w:p>
    <w:p w14:paraId="6F58EEDF">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rPr>
          <w:rFonts w:ascii="仿宋" w:hAnsi="仿宋" w:eastAsia="仿宋_GB2312"/>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_GB2312"/>
          <w:sz w:val="32"/>
          <w:szCs w:val="32"/>
        </w:rPr>
        <w:t>指在基本支出之外为完成特定行政任务或事业发展目标所发生的支出。</w:t>
      </w:r>
    </w:p>
    <w:p w14:paraId="7E8A75B9">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rPr>
          <w:rFonts w:hint="eastAsia" w:ascii="仿宋" w:hAnsi="仿宋" w:eastAsia="仿宋_GB2312"/>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_GB2312"/>
          <w:sz w:val="32"/>
          <w:szCs w:val="32"/>
        </w:rPr>
        <w:t>是指安排的因公出国（境）费、公务用车购置及运行维护费和公务接待费。</w:t>
      </w:r>
    </w:p>
    <w:p w14:paraId="7BE7AACC">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_GB2312"/>
          <w:sz w:val="32"/>
          <w:szCs w:val="32"/>
        </w:rPr>
        <w:t>指事业单位在专业业务活动及其辅助活动之外开展非独立核算经营活动发生的支出。</w:t>
      </w:r>
    </w:p>
    <w:p w14:paraId="357475A2">
      <w:pPr>
        <w:keepNext w:val="0"/>
        <w:keepLines w:val="0"/>
        <w:pageBreakBefore w:val="0"/>
        <w:kinsoku/>
        <w:wordWrap/>
        <w:overflowPunct/>
        <w:topLinePunct w:val="0"/>
        <w:bidi w:val="0"/>
        <w:snapToGrid/>
        <w:spacing w:line="576" w:lineRule="exact"/>
        <w:ind w:firstLine="640" w:firstLineChars="200"/>
        <w:rPr>
          <w:rFonts w:ascii="仿宋" w:hAnsi="仿宋" w:eastAsia="仿宋_GB2312"/>
          <w:sz w:val="32"/>
          <w:szCs w:val="32"/>
        </w:rPr>
      </w:pPr>
    </w:p>
    <w:sectPr>
      <w:headerReference r:id="rId3" w:type="defaul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D967D">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2C11613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686C">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65E89B9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FB6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Y2E5MWI3MDE4ZWE4YWVkMjc0ZDFhMzU4MDZkNzE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6F7BD2"/>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10A5E99"/>
    <w:rsid w:val="03BA07BA"/>
    <w:rsid w:val="072D066C"/>
    <w:rsid w:val="096B2101"/>
    <w:rsid w:val="0A0A2276"/>
    <w:rsid w:val="0D1600BD"/>
    <w:rsid w:val="0D572F4F"/>
    <w:rsid w:val="12FB2E08"/>
    <w:rsid w:val="17675EB6"/>
    <w:rsid w:val="178634A1"/>
    <w:rsid w:val="19E56522"/>
    <w:rsid w:val="1A122CF7"/>
    <w:rsid w:val="1A123DC4"/>
    <w:rsid w:val="1B787A14"/>
    <w:rsid w:val="1DC9293C"/>
    <w:rsid w:val="1F5058A8"/>
    <w:rsid w:val="222D4047"/>
    <w:rsid w:val="23E3530B"/>
    <w:rsid w:val="25933E2C"/>
    <w:rsid w:val="25D20689"/>
    <w:rsid w:val="268138A7"/>
    <w:rsid w:val="27DB2418"/>
    <w:rsid w:val="2824468F"/>
    <w:rsid w:val="285207F1"/>
    <w:rsid w:val="28A46DDB"/>
    <w:rsid w:val="2A550599"/>
    <w:rsid w:val="2C9A50B3"/>
    <w:rsid w:val="2F7F5E3D"/>
    <w:rsid w:val="375C1C17"/>
    <w:rsid w:val="3BFA6BC2"/>
    <w:rsid w:val="3E10692D"/>
    <w:rsid w:val="3E241DE0"/>
    <w:rsid w:val="4389061D"/>
    <w:rsid w:val="4491108E"/>
    <w:rsid w:val="46522568"/>
    <w:rsid w:val="469715A5"/>
    <w:rsid w:val="48000005"/>
    <w:rsid w:val="4B5B170D"/>
    <w:rsid w:val="4BD032CC"/>
    <w:rsid w:val="54B111FA"/>
    <w:rsid w:val="551D5FEF"/>
    <w:rsid w:val="5C4F77F2"/>
    <w:rsid w:val="600B7E93"/>
    <w:rsid w:val="608159F0"/>
    <w:rsid w:val="60B5707F"/>
    <w:rsid w:val="621E52D4"/>
    <w:rsid w:val="63D850C2"/>
    <w:rsid w:val="68607348"/>
    <w:rsid w:val="70FD3CF6"/>
    <w:rsid w:val="7214796B"/>
    <w:rsid w:val="74034F0C"/>
    <w:rsid w:val="796331A1"/>
    <w:rsid w:val="7A90464B"/>
    <w:rsid w:val="7F6426B2"/>
    <w:rsid w:val="7FC56D7E"/>
    <w:rsid w:val="7FCA2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6190</Words>
  <Characters>6740</Characters>
  <Lines>33</Lines>
  <Paragraphs>9</Paragraphs>
  <TotalTime>21</TotalTime>
  <ScaleCrop>false</ScaleCrop>
  <LinksUpToDate>false</LinksUpToDate>
  <CharactersWithSpaces>7043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gjcghc</cp:lastModifiedBy>
  <cp:lastPrinted>2021-01-27T11:28:00Z</cp:lastPrinted>
  <dcterms:modified xsi:type="dcterms:W3CDTF">2025-02-07T10:09:53Z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2EF3974508F6451396CA6299C1BA7898_13</vt:lpwstr>
  </property>
  <property fmtid="{D5CDD505-2E9C-101B-9397-08002B2CF9AE}" pid="4" name="KSOTemplateDocerSaveRecord">
    <vt:lpwstr>eyJoZGlkIjoiMzdkY2M2ODY5YWM1MjdmYTVhODA0Y2FlMGU4ZGVhM2IiLCJ1c2VySWQiOiI0NjkzMzExNTEifQ==</vt:lpwstr>
  </property>
</Properties>
</file>